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CLV and Segments Integration</w:t>
      </w:r>
    </w:p>
    <w:p>
      <w:r>
        <w:rPr>
          <w:i/>
          <w:color w:val="555555"/>
          <w:sz w:val="22"/>
        </w:rPr>
        <w:t>Design discussion #6 - how the value model and the clusters fit together</w:t>
      </w:r>
    </w:p>
    <w:p>
      <w:r>
        <w:rPr>
          <w:color w:val="555555"/>
          <w:sz w:val="18"/>
        </w:rPr>
        <w:t>Customer Segmentation Project  |  Planning Notes  |  17 June 2026</w:t>
      </w:r>
    </w:p>
    <w:p/>
    <w:p>
      <w:r>
        <w:t>Added 18 June 2026. We build TWO models - a clustering (groups customers by behaviour) and a CLV model (BG/NBD + Gamma-Gamma, predicts future value). This records how they relate.</w:t>
      </w:r>
    </w:p>
    <w:p>
      <w:pPr>
        <w:pStyle w:val="Heading1"/>
      </w:pPr>
      <w:r>
        <w:rPr>
          <w:color w:val="1F4E79"/>
        </w:rPr>
        <w:t>The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Option</w:t>
            </w:r>
          </w:p>
        </w:tc>
        <w:tc>
          <w:tcPr>
            <w:tcW w:type="dxa" w:w="2880"/>
          </w:tcPr>
          <w:p>
            <w:r/>
            <w:r>
              <w:rPr>
                <w:b/>
                <w:sz w:val="20"/>
              </w:rPr>
              <w:t>Idea</w:t>
            </w:r>
          </w:p>
        </w:tc>
        <w:tc>
          <w:tcPr>
            <w:tcW w:type="dxa" w:w="2880"/>
          </w:tcPr>
          <w:p>
            <w:r/>
            <w:r>
              <w:rPr>
                <w:b/>
                <w:sz w:val="20"/>
              </w:rPr>
              <w:t>Verdict</w:t>
            </w:r>
          </w:p>
        </w:tc>
      </w:tr>
      <w:tr>
        <w:tc>
          <w:tcPr>
            <w:tcW w:type="dxa" w:w="2880"/>
          </w:tcPr>
          <w:p>
            <w:r/>
            <w:r>
              <w:rPr>
                <w:sz w:val="20"/>
              </w:rPr>
              <w:t>CLV as a clustering input</w:t>
            </w:r>
          </w:p>
        </w:tc>
        <w:tc>
          <w:tcPr>
            <w:tcW w:type="dxa" w:w="2880"/>
          </w:tcPr>
          <w:p>
            <w:r/>
            <w:r>
              <w:rPr>
                <w:sz w:val="20"/>
              </w:rPr>
              <w:t>Feed predicted CLV in as another feature</w:t>
            </w:r>
          </w:p>
        </w:tc>
        <w:tc>
          <w:tcPr>
            <w:tcW w:type="dxa" w:w="2880"/>
          </w:tcPr>
          <w:p>
            <w:r/>
            <w:r>
              <w:rPr>
                <w:sz w:val="20"/>
              </w:rPr>
              <w:t>Rejected - circular (see below)</w:t>
            </w:r>
          </w:p>
        </w:tc>
      </w:tr>
      <w:tr>
        <w:tc>
          <w:tcPr>
            <w:tcW w:type="dxa" w:w="2880"/>
          </w:tcPr>
          <w:p>
            <w:r/>
            <w:r>
              <w:rPr>
                <w:sz w:val="20"/>
              </w:rPr>
              <w:t>CLV as a post-hoc layer</w:t>
            </w:r>
          </w:p>
        </w:tc>
        <w:tc>
          <w:tcPr>
            <w:tcW w:type="dxa" w:w="2880"/>
          </w:tcPr>
          <w:p>
            <w:r/>
            <w:r>
              <w:rPr>
                <w:sz w:val="20"/>
              </w:rPr>
              <w:t>Cluster on behaviour, attach CLV per customer afterward</w:t>
            </w:r>
          </w:p>
        </w:tc>
        <w:tc>
          <w:tcPr>
            <w:tcW w:type="dxa" w:w="2880"/>
          </w:tcPr>
          <w:p>
            <w:r/>
            <w:r>
              <w:rPr>
                <w:sz w:val="20"/>
              </w:rPr>
              <w:t>CHOSEN</w:t>
            </w:r>
          </w:p>
        </w:tc>
      </w:tr>
      <w:tr>
        <w:tc>
          <w:tcPr>
            <w:tcW w:type="dxa" w:w="2880"/>
          </w:tcPr>
          <w:p>
            <w:r/>
            <w:r>
              <w:rPr>
                <w:sz w:val="20"/>
              </w:rPr>
              <w:t>One combined model</w:t>
            </w:r>
          </w:p>
        </w:tc>
        <w:tc>
          <w:tcPr>
            <w:tcW w:type="dxa" w:w="2880"/>
          </w:tcPr>
          <w:p>
            <w:r/>
            <w:r>
              <w:rPr>
                <w:sz w:val="20"/>
              </w:rPr>
              <w:t>A single joint model of behaviour + value</w:t>
            </w:r>
          </w:p>
        </w:tc>
        <w:tc>
          <w:tcPr>
            <w:tcW w:type="dxa" w:w="2880"/>
          </w:tcPr>
          <w:p>
            <w:r/>
            <w:r>
              <w:rPr>
                <w:sz w:val="20"/>
              </w:rPr>
              <w:t>Rejected - overcomplicated, loses interpretability</w:t>
            </w:r>
          </w:p>
        </w:tc>
      </w:tr>
    </w:tbl>
    <w:p/>
    <w:p>
      <w:pPr>
        <w:pStyle w:val="Heading1"/>
      </w:pPr>
      <w:r>
        <w:rPr>
          <w:color w:val="1F4E79"/>
        </w:rPr>
        <w:t>Why CLV must NOT be a clustering input</w:t>
      </w:r>
    </w:p>
    <w:p>
      <w:pPr>
        <w:pStyle w:val="ListBullet"/>
      </w:pPr>
      <w:r>
        <w:t>Circularity: CLV is built FROM Recency/Frequency/Monetary - the same inputs the clustering already uses - so feeding it back double-counts the spend signal (the redundancy trap from discussion #3 in a new costume).</w:t>
      </w:r>
    </w:p>
    <w:p>
      <w:pPr>
        <w:pStyle w:val="ListBullet"/>
      </w:pPr>
      <w:r>
        <w:t>Interpretability: we want segments defined by BEHAVIOUR, then to state what each behavioural segment is worth. If CLV helps define the groups, we can no longer say 'this behaviour group turns out to be worth the most' - value already shaped the group.</w:t>
      </w:r>
    </w:p>
    <w:p>
      <w:pPr>
        <w:pStyle w:val="ListBullet"/>
      </w:pPr>
      <w:r>
        <w:t>Keeping them separate preserves a free validation (next section) that merging would destroy.</w:t>
      </w:r>
    </w:p>
    <w:p>
      <w:pPr>
        <w:pStyle w:val="Heading1"/>
      </w:pPr>
      <w:r>
        <w:rPr>
          <w:color w:val="1F4E79"/>
        </w:rPr>
        <w:t>How they meet: a join on Customer ID</w:t>
      </w:r>
    </w:p>
    <w:p>
      <w:r>
        <w:t>Two separate pipelines that meet at the customer level:</w:t>
      </w:r>
    </w:p>
    <w:p>
      <w:pPr>
        <w:pStyle w:val="ListBullet"/>
      </w:pPr>
      <w:r>
        <w:t>Clustering pipeline: scaled log-RFM + tenure -&gt; segment label.</w:t>
      </w:r>
    </w:p>
    <w:p>
      <w:pPr>
        <w:pStyle w:val="ListBullet"/>
      </w:pPr>
      <w:r>
        <w:t>CLV pipeline: RAW frequency / recency / tenure / monetary -&gt; lifetimes model -&gt; predicted future value. Note: CLV uses raw counts/dates - NOT scaled or logged; a different pipeline entirely.</w:t>
      </w:r>
    </w:p>
    <w:p>
      <w:r>
        <w:t>Each customer ends with two attributes - a segment and a predicted CLV - joined into one final table.</w:t>
      </w:r>
    </w:p>
    <w:p>
      <w:pPr>
        <w:pStyle w:val="Heading1"/>
      </w:pPr>
      <w:r>
        <w:rPr>
          <w:color w:val="1F4E79"/>
        </w:rPr>
        <w:t>The free validation (internal consistency check)</w:t>
      </w:r>
    </w:p>
    <w:p>
      <w:r>
        <w:t>Two INDEPENDENT methods both point at 'who is valuable': clustering ('these form the Champion behaviour group') and CLV ('these have the highest predicted future value'). If high-CLV customers concentrate in the Champion segment, the two independent methods AGREE -&gt; strong evidence both capture something real. If they disagree (e.g. an active-looking segment with low CLV -&gt; possibly about to churn), that is itself a finding. Deliverable: a segment x CLV summary table (observability).</w:t>
      </w:r>
    </w:p>
    <w:p>
      <w:pPr>
        <w:pStyle w:val="Heading1"/>
      </w:pPr>
      <w:r>
        <w:rPr>
          <w:color w:val="1F4E79"/>
        </w:rPr>
        <w:t>The business deliverable: the segment x CLV action grid</w:t>
      </w:r>
    </w:p>
    <w:p>
      <w:r>
        <w:t>Combine segment (behaviour / lifecycle) with CLV (value) into a prioritised action - this is where framing A pays off: spend follows expected RETURN (CLV) WITHIN behavioural context (segment).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Segment \ Value</w:t>
            </w:r>
          </w:p>
        </w:tc>
        <w:tc>
          <w:tcPr>
            <w:tcW w:type="dxa" w:w="2880"/>
          </w:tcPr>
          <w:p>
            <w:r/>
            <w:r>
              <w:rPr>
                <w:b/>
                <w:sz w:val="20"/>
              </w:rPr>
              <w:t>High CLV</w:t>
            </w:r>
          </w:p>
        </w:tc>
        <w:tc>
          <w:tcPr>
            <w:tcW w:type="dxa" w:w="2880"/>
          </w:tcPr>
          <w:p>
            <w:r/>
            <w:r>
              <w:rPr>
                <w:b/>
                <w:sz w:val="20"/>
              </w:rPr>
              <w:t>Low CLV</w:t>
            </w:r>
          </w:p>
        </w:tc>
      </w:tr>
      <w:tr>
        <w:tc>
          <w:tcPr>
            <w:tcW w:type="dxa" w:w="2880"/>
          </w:tcPr>
          <w:p>
            <w:r/>
            <w:r>
              <w:rPr>
                <w:sz w:val="20"/>
              </w:rPr>
              <w:t>At-risk</w:t>
            </w:r>
          </w:p>
        </w:tc>
        <w:tc>
          <w:tcPr>
            <w:tcW w:type="dxa" w:w="2880"/>
          </w:tcPr>
          <w:p>
            <w:r/>
            <w:r>
              <w:rPr>
                <w:sz w:val="20"/>
              </w:rPr>
              <w:t>TOP priority win-back (valuable AND leaving)</w:t>
            </w:r>
          </w:p>
        </w:tc>
        <w:tc>
          <w:tcPr>
            <w:tcW w:type="dxa" w:w="2880"/>
          </w:tcPr>
          <w:p>
            <w:r/>
            <w:r>
              <w:rPr>
                <w:sz w:val="20"/>
              </w:rPr>
              <w:t>Let them lapse</w:t>
            </w:r>
          </w:p>
        </w:tc>
      </w:tr>
      <w:tr>
        <w:tc>
          <w:tcPr>
            <w:tcW w:type="dxa" w:w="2880"/>
          </w:tcPr>
          <w:p>
            <w:r/>
            <w:r>
              <w:rPr>
                <w:sz w:val="20"/>
              </w:rPr>
              <w:t>Champion</w:t>
            </w:r>
          </w:p>
        </w:tc>
        <w:tc>
          <w:tcPr>
            <w:tcW w:type="dxa" w:w="2880"/>
          </w:tcPr>
          <w:p>
            <w:r/>
            <w:r>
              <w:rPr>
                <w:sz w:val="20"/>
              </w:rPr>
              <w:t>Protect / VIP perks</w:t>
            </w:r>
          </w:p>
        </w:tc>
        <w:tc>
          <w:tcPr>
            <w:tcW w:type="dxa" w:w="2880"/>
          </w:tcPr>
          <w:p>
            <w:r/>
            <w:r>
              <w:rPr>
                <w:sz w:val="20"/>
              </w:rPr>
              <w:t>Steady nurture</w:t>
            </w:r>
          </w:p>
        </w:tc>
      </w:tr>
      <w:tr>
        <w:tc>
          <w:tcPr>
            <w:tcW w:type="dxa" w:w="2880"/>
          </w:tcPr>
          <w:p>
            <w:r/>
            <w:r>
              <w:rPr>
                <w:sz w:val="20"/>
              </w:rPr>
              <w:t>New</w:t>
            </w:r>
          </w:p>
        </w:tc>
        <w:tc>
          <w:tcPr>
            <w:tcW w:type="dxa" w:w="2880"/>
          </w:tcPr>
          <w:p>
            <w:r/>
            <w:r>
              <w:rPr>
                <w:sz w:val="20"/>
              </w:rPr>
              <w:t>Invest to grow</w:t>
            </w:r>
          </w:p>
        </w:tc>
        <w:tc>
          <w:tcPr>
            <w:tcW w:type="dxa" w:w="2880"/>
          </w:tcPr>
          <w:p>
            <w:r/>
            <w:r>
              <w:rPr>
                <w:sz w:val="20"/>
              </w:rPr>
              <w:t>Light-touch onboarding</w:t>
            </w:r>
          </w:p>
        </w:tc>
      </w:tr>
    </w:tbl>
    <w:p/>
    <w:p>
      <w:r>
        <w:t>A high-value customer who is slipping is the single best place to spend a retention pound - and only the segment x value combination surfaces them.</w:t>
      </w:r>
    </w:p>
    <w:p>
      <w:pPr>
        <w:pStyle w:val="Heading1"/>
      </w:pPr>
      <w:r>
        <w:rPr>
          <w:color w:val="1F4E79"/>
        </w:rPr>
        <w:t>Sub-decisions inside CLV</w:t>
      </w:r>
    </w:p>
    <w:p>
      <w:pPr>
        <w:pStyle w:val="ListBullet"/>
      </w:pPr>
      <w:r>
        <w:t>Horizon: predict CLV over a fixed future window - default 12 months (clean business-planning unit).</w:t>
      </w:r>
    </w:p>
    <w:p>
      <w:pPr>
        <w:pStyle w:val="ListBullet"/>
      </w:pPr>
      <w:r>
        <w:t>Discounting: optionally apply DCF (a pound next year is worth less than today) - a rigor touch; can be a v2.</w:t>
      </w:r>
    </w:p>
    <w:p>
      <w:pPr>
        <w:pStyle w:val="ListBullet"/>
      </w:pPr>
      <w:r>
        <w:t>Bonus signal: BG/NBD also outputs P(alive), a per-customer churn-risk probability that complements the segment's lifecycle read.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