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CLV Mathematics Reference</w:t>
      </w:r>
    </w:p>
    <w:p>
      <w:r>
        <w:rPr>
          <w:i/>
          <w:color w:val="606060"/>
        </w:rPr>
        <w:t>Phase 5 — Customer Segmentation Project  ·  the math behind src/clv.py</w:t>
      </w:r>
    </w:p>
    <w:p>
      <w:r>
        <w:t>Customer Lifetime Value = how much a customer will be worth over a future window. It splits into two forecasts that we multiply: HOW MANY times will they buy (BG/NBD) × HOW MUCH per purchase (Gamma-Gamma). This document gives the formula, a plain explanation, a worked example, and the real project number for each. Figures referenced live in reports/figures/05_clv/.</w:t>
      </w:r>
    </w:p>
    <w:p>
      <w:r>
        <w:rPr>
          <w:b/>
          <w:color w:val="1F4E79"/>
        </w:rPr>
        <w:t xml:space="preserve">The two-track principle (doc 12). </w:t>
      </w:r>
      <w:r>
        <w:t>CLV is built from Recency/Frequency/Monetary — the same signals clustering uses — so it must NOT be a clustering input (that would double-count spend). We build segments from behaviour, then state what each segment is worth. Keeping them separate also buys a free validation: if high-CLV customers concentrate in one behavioural segment, two independent methods agree.</w:t>
      </w:r>
    </w:p>
    <w:p>
      <w:r>
        <w:rPr>
          <w:b/>
          <w:color w:val="1F4E79"/>
        </w:rPr>
        <w:t xml:space="preserve">The naming trap (doc 15). </w:t>
      </w:r>
      <w:r>
        <w:t>CLV inputs share names with clustering features but mean different things: frequency = number of REPEAT purchase occasions (a one-time buyer = 0); recency = age at last purchase t_x = (last − first); T = customer age = (anchor − first); monetary_value = average value of REPEAT transactions. Built by features.build_clv_inputs via rfm_summary.</w:t>
      </w:r>
    </w:p>
    <w:p>
      <w:pPr>
        <w:pStyle w:val="Heading1"/>
      </w:pPr>
      <w:r>
        <w:rPr>
          <w:color w:val="1F4E79"/>
        </w:rPr>
        <w:t>Part A — BG/NBD (how many future purchases + P(alive))</w:t>
      </w:r>
    </w:p>
    <w:p>
      <w:r>
        <w:t>Retail is NON-CONTRACTUAL: customers never announce they have left, they just stop buying. BG/NBD infers churn probabilistically from two hidden processes per customer.</w:t>
      </w:r>
    </w:p>
    <w:p>
      <w:pPr>
        <w:pStyle w:val="Heading2"/>
      </w:pPr>
      <w:r>
        <w:t>A1. Process 1 — buying while alive (the NBD)</w:t>
      </w:r>
    </w:p>
    <w:p>
      <w:r>
        <w:rPr>
          <w:b/>
          <w:color w:val="1F4E79"/>
        </w:rPr>
        <w:t xml:space="preserve">Story. </w:t>
      </w:r>
      <w:r>
        <w:t>While ALIVE, a customer buys as a Poisson process at their own rate λ (purchases per unit time — memoryless, no schedule). Rates differ across people, drawn from a Gamma.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buys in time t  ~  Poisson(λ t)          λ  ~  Gamma(r, α)</w:t>
      </w:r>
    </w:p>
    <w:p>
      <w:r>
        <w:t>Poisson counts + Gamma heterogeneity across the population = a Negative Binomial distribution of purchase counts (the 'NBD'). The Gamma's mean rate is r/α.</w:t>
      </w:r>
    </w:p>
    <w:p>
      <w:r>
        <w:rPr>
          <w:b/>
          <w:i/>
          <w:color w:val="B04030"/>
        </w:rPr>
        <w:t>Worked example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Fitted r = 0.64, α = 62  -&gt;  mean λ = r/α = 0.64/62 = 0.0103 per DAY</w:t>
      </w:r>
    </w:p>
    <w:p>
      <w:pPr>
        <w:spacing w:after="0"/>
        <w:ind w:left="504"/>
      </w:pPr>
      <w:r>
        <w:rPr>
          <w:rFonts w:ascii="Consolas" w:hAnsi="Consolas"/>
          <w:sz w:val="20"/>
        </w:rPr>
        <w:t xml:space="preserve">                            = 0.0103 × 365 ≈ 3.74 purchases per YEAR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Most customers buy a few times/yr; a long tail buys often (the Gamma shape).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r = 0.635, α = 61.96 (MAP). See the Gamma curve in bgnbd_outputs.png panel A.</w:t>
      </w:r>
    </w:p>
    <w:p>
      <w:pPr>
        <w:pStyle w:val="Heading2"/>
      </w:pPr>
      <w:r>
        <w:t>A2. Process 2 — dropping out (the BG)</w:t>
      </w:r>
    </w:p>
    <w:p>
      <w:r>
        <w:rPr>
          <w:b/>
          <w:color w:val="1F4E79"/>
        </w:rPr>
        <w:t xml:space="preserve">Story. </w:t>
      </w:r>
      <w:r>
        <w:t>After EACH purchase the customer flips a coin: with probability p they go inactive forever (die); with prob (1−p) they buy again. p differs across people, drawn from a Beta.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purchases until death  ~  Geometric(p)          p  ~  Beta(a, b)</w:t>
      </w:r>
    </w:p>
    <w:p>
      <w:r>
        <w:t>The Beta's mean dropout probability is a/(a+b). Four population parameters (r, α, a, b) are fit from everyone's (frequency, recency, T) by MAP or MCMC — no per-customer tuning.</w:t>
      </w:r>
    </w:p>
    <w:p>
      <w:r>
        <w:rPr>
          <w:b/>
          <w:i/>
          <w:color w:val="B04030"/>
        </w:rPr>
        <w:t>Worked example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Fitted a = 0.15, b = 2.76  -&gt;  mean dropout p = a/(a+b) = 0.15/2.91 = 0.052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i.e. ~5% chance of quitting after any given purchase (most customers are fairly loyal).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a = 0.150, b = 2.762 (MAP). Beta curve in bgnbd_outputs.png panel B.</w:t>
      </w:r>
    </w:p>
    <w:p>
      <w:pPr>
        <w:pStyle w:val="Heading2"/>
      </w:pPr>
      <w:r>
        <w:t>A3. The magic output — P(alive)</w:t>
      </w:r>
    </w:p>
    <w:p>
      <w:r>
        <w:rPr>
          <w:b/>
          <w:color w:val="1F4E79"/>
        </w:rPr>
        <w:t xml:space="preserve">What it is. </w:t>
      </w:r>
      <w:r>
        <w:t>Given a customer's (frequency x, recency t_x, age T), the model returns the posterior probability they are still active.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P(alive | x, t_x, T)  =  posterior from combining the NBD + BG processes</w:t>
      </w:r>
    </w:p>
    <w:p>
      <w:r>
        <w:t>Intuition: a long silence is SURPRISING relative to a customer's own established rate. A once-frequent buyer who has gone quiet → low P(alive); a naturally rare buyer who is quiet → still high P(alive). THIS is why recency drives churn, not raw frequency.</w:t>
      </w:r>
    </w:p>
    <w:p>
      <w:r>
        <w:rPr>
          <w:b/>
          <w:i/>
          <w:color w:val="B04030"/>
        </w:rPr>
        <w:t>Worked example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Two customers, both silent for 200 days:</w:t>
      </w:r>
    </w:p>
    <w:p>
      <w:pPr>
        <w:spacing w:after="0"/>
        <w:ind w:left="504"/>
      </w:pPr>
      <w:r>
        <w:rPr>
          <w:rFonts w:ascii="Consolas" w:hAnsi="Consolas"/>
          <w:sz w:val="20"/>
        </w:rPr>
        <w:t xml:space="preserve">  A bought 50× at a fast pace  -&gt; 200-day silence is alarming -&gt; P(alive) LOW</w:t>
      </w:r>
    </w:p>
    <w:p>
      <w:pPr>
        <w:spacing w:after="0"/>
        <w:ind w:left="504"/>
      </w:pPr>
      <w:r>
        <w:rPr>
          <w:rFonts w:ascii="Consolas" w:hAnsi="Consolas"/>
          <w:sz w:val="20"/>
        </w:rPr>
        <w:t xml:space="preserve">  B bought 2× slowly           -&gt; 200-day silence is normal   -&gt; P(alive) high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mean P(alive) = 0.89; only 2.7% below the 0.3 churn-risk line.</w:t>
      </w:r>
    </w:p>
    <w:p>
      <w:r>
        <w:rPr>
          <w:i/>
          <w:color w:val="606060"/>
          <w:sz w:val="19"/>
        </w:rPr>
        <w:t>Figure: bgnbd_brain.png — P(alive) and expected purchases over the (frequency, recency) grid.</w:t>
      </w:r>
    </w:p>
    <w:p>
      <w:pPr>
        <w:pStyle w:val="Heading2"/>
      </w:pPr>
      <w:r>
        <w:t>A4. Forecast — expected future purchases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E[ purchases in next t ]  =  closed form using the Gaussian hypergeometric function</w:t>
      </w:r>
    </w:p>
    <w:p>
      <w:r>
        <w:t>Used over the CLV horizon (12 months ≈ 365 days). One number per customer.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mean expected purchases next 12 mo = 2.82 (median 1.57).</w:t>
      </w:r>
    </w:p>
    <w:p>
      <w:pPr>
        <w:pStyle w:val="Heading1"/>
      </w:pPr>
      <w:r>
        <w:rPr>
          <w:color w:val="1F4E79"/>
        </w:rPr>
        <w:t>Part B — Gamma-Gamma (how much per purchase)</w:t>
      </w:r>
    </w:p>
    <w:p>
      <w:pPr>
        <w:pStyle w:val="Heading2"/>
      </w:pPr>
      <w:r>
        <w:t>B1. The spend model + Bayesian shrinkage</w:t>
      </w:r>
    </w:p>
    <w:p>
      <w:r>
        <w:rPr>
          <w:b/>
          <w:color w:val="1F4E79"/>
        </w:rPr>
        <w:t xml:space="preserve">Story. </w:t>
      </w:r>
      <w:r>
        <w:t>Each customer has a TRUE average spend per transaction; observed order values scatter (Gamma) around it. That per-customer mean itself varies across the population (also Gamma) → Gamma-Gamma, three parameters, fit on REPEAT buyers only (frequency &gt; 0).</w:t>
      </w:r>
    </w:p>
    <w:p>
      <w:r>
        <w:rPr>
          <w:b/>
          <w:color w:val="1F4E79"/>
        </w:rPr>
        <w:t xml:space="preserve">Shrinkage (the key behaviour). </w:t>
      </w:r>
      <w:r>
        <w:t>The predicted average spend is a precision-weighted blend of the customer's OWN observed average and the POPULATION mean: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ŝ_i  ≈  ( n_i · own_average  +  k · population_mean ) / ( n_i + k )      n_i = frequency</w:t>
      </w:r>
    </w:p>
    <w:p>
      <w:r>
        <w:t>Many transactions (large n) → trust their own average; few → pull toward the population. One £900 order is not proof of a £900 customer.</w:t>
      </w:r>
    </w:p>
    <w:p>
      <w:r>
        <w:rPr>
          <w:b/>
          <w:i/>
          <w:color w:val="B04030"/>
        </w:rPr>
        <w:t>Worked example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Population mean spend ≈ £404.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Customer with ONE £10 order  -&gt; thin evidence -&gt; predicted pulled UP toward ~£200.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Customer with 50 orders avg £10 -&gt; rich evidence -&gt; predicted stays ~£12 (own data).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population mean £404; shrinkage visible as the S-curve in gamma_gamma_shrinkage.png (dark = low-frequency points deviate most toward £404).</w:t>
      </w:r>
    </w:p>
    <w:p>
      <w:pPr>
        <w:pStyle w:val="Heading2"/>
      </w:pPr>
      <w:r>
        <w:t>B2. The validity gate (must pass BEFORE fitting)</w:t>
      </w:r>
    </w:p>
    <w:p>
      <w:r>
        <w:rPr>
          <w:b/>
          <w:color w:val="1F4E79"/>
        </w:rPr>
        <w:t xml:space="preserve">Assumption. </w:t>
      </w:r>
      <w:r>
        <w:t>Gamma-Gamma assumes a customer's average spend is INDEPENDENT of how often they buy. If frequent buyers systematically spend more/less per order, the model is misapplied.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check  corr(frequency, monetary_value) ≈ 0   (|Pearson| &lt; 0.30 rule of thumb)</w:t>
      </w:r>
    </w:p>
    <w:p>
      <w:r>
        <w:t>Pearson tests LINEAR independence (the formal assumption); Spearman (rank) is reported alongside for honesty.</w:t>
      </w:r>
    </w:p>
    <w:p>
      <w:r>
        <w:rPr>
          <w:b/>
          <w:i/>
          <w:color w:val="B04030"/>
        </w:rPr>
        <w:t>Worked example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Pearson = 0.021  -&gt; &lt; 0.30  -&gt; PASSES.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Spearman = 0.254 + binned medians £244→£418 -&gt; a MILD monotonic creep, reported as a caveat.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gate PASSES (Pearson 0.02) with a documented mild-monotonic caveat. See gamma_gamma_gate.png.</w:t>
      </w:r>
    </w:p>
    <w:p>
      <w:pPr>
        <w:pStyle w:val="Heading1"/>
      </w:pPr>
      <w:r>
        <w:rPr>
          <w:color w:val="1F4E79"/>
        </w:rPr>
        <w:t>Part C — Combining into CLV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CLV  =  Σ over future periods  E[transactions] × E[value per transaction]  / (1+d)^period</w:t>
      </w:r>
    </w:p>
    <w:p>
      <w:r>
        <w:t>BG/NBD supplies the expected transactions, Gamma-Gamma the expected value; d is an optional yearly discount rate (DCF). Horizon = 12 months (doc 12). One-timers (frequency 0) get BG/NBD purchases × the population-mean spend (their Gamma-Gamma fallback).</w:t>
      </w:r>
    </w:p>
    <w:p>
      <w:r>
        <w:rPr>
          <w:b/>
          <w:i/>
          <w:color w:val="B04030"/>
        </w:rPr>
        <w:t>Worked example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A customer expected to buy 3× in the next 12 mo, at £150/order:</w:t>
      </w:r>
    </w:p>
    <w:p>
      <w:pPr>
        <w:spacing w:after="0"/>
        <w:ind w:left="504"/>
      </w:pPr>
      <w:r>
        <w:rPr>
          <w:rFonts w:ascii="Consolas" w:hAnsi="Consolas"/>
          <w:sz w:val="20"/>
        </w:rPr>
        <w:t xml:space="preserve">  CLV(12 mo, undiscounted) = 3 × £150 = £450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With 10% annual discounting the later months are worth slightly less (deferred to v2).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mean 12-mo CLV £1,396, median £536, max £252k (a wholesaler). One-timer mean £311 vs repeat £1,831. Built-in vs manual (purchases×spend) agree within 1.3%. See clv_components.png.</w:t>
      </w:r>
    </w:p>
    <w:p>
      <w:pPr>
        <w:pStyle w:val="Heading1"/>
      </w:pPr>
      <w:r>
        <w:rPr>
          <w:color w:val="1F4E79"/>
        </w:rPr>
        <w:t>Part D — Validation &amp; uncertainty (doc 08)</w:t>
      </w:r>
    </w:p>
    <w:p>
      <w:pPr>
        <w:pStyle w:val="Heading2"/>
      </w:pPr>
      <w:r>
        <w:t>D1. Temporal holdout (does it predict the FUTURE?)</w:t>
      </w:r>
    </w:p>
    <w:p>
      <w:r>
        <w:rPr>
          <w:b/>
          <w:color w:val="1F4E79"/>
        </w:rPr>
        <w:t xml:space="preserve">Method. </w:t>
      </w:r>
      <w:r>
        <w:t>Split the timeline at a cutoff: fit BG/NBD on the CALIBRATION period (before), predict purchases in the HOLDOUT period (after), compare to what ACTUALLY happened. Repeat at 3/6/9-month holdouts.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calibration plot:  for each calibration-frequency bin, mean predicted ≈ mean actual</w:t>
      </w:r>
    </w:p>
    <w:p>
      <w:r>
        <w:t>A well-calibrated model's predicted and actual curves overlap. Also check PARAMETER STABILITY (do r, α, a, b stay steady across cutoffs?).</w:t>
      </w:r>
    </w:p>
    <w:p>
      <w:r>
        <w:rPr>
          <w:b/>
          <w:i/>
          <w:color w:val="B04030"/>
        </w:rPr>
        <w:t>Worked example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3-mo holdout: total predicted / actual = 0.77 (under-predicts the Christmas run-up)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6-mo holdout: 0.98 (near-perfect)        9-mo: 1.12 (over-predicts)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Shape tracks well in all three -&gt; customer RANKING is trustworthy.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calibration shape excellent; a vertical bias = SEASONALITY (gift-ware Christmas peak), which a 12-month horizon averages out. calibration_small_multiples.png + parameter_stability.png.</w:t>
      </w:r>
    </w:p>
    <w:p>
      <w:pPr>
        <w:pStyle w:val="Heading2"/>
      </w:pPr>
      <w:r>
        <w:t>D2. The trap — do NOT rank cutoffs by raw error</w:t>
      </w:r>
    </w:p>
    <w:p>
      <w:r>
        <w:t>Moving the cutoff changes TWO things at once: calibration length AND prediction horizon. A 3-month holdout shows lower raw MAE simply because predicting 3 months is easier — NOT because it is a better model. Judge calibration + parameter stability (horizon-fair), not raw MAE.</w:t>
      </w:r>
    </w:p>
    <w:p>
      <w:pPr>
        <w:pStyle w:val="Heading2"/>
      </w:pPr>
      <w:r>
        <w:t>D3. MAP vs MCMC (point estimate vs full uncertainty)</w:t>
      </w:r>
    </w:p>
    <w:p>
      <w:r>
        <w:rPr>
          <w:b/>
          <w:color w:val="1F4E79"/>
        </w:rPr>
        <w:t xml:space="preserve">MAP. </w:t>
      </w:r>
      <w:r>
        <w:t>Maximum A Posteriori — the single most probable parameter values (the posterior peak). Fast (seconds). Output is a point estimate. Used while BUILDING.</w:t>
      </w:r>
    </w:p>
    <w:p>
      <w:r>
        <w:rPr>
          <w:b/>
          <w:color w:val="1F4E79"/>
        </w:rPr>
        <w:t xml:space="preserve">MCMC. </w:t>
      </w:r>
      <w:r>
        <w:t>Draws thousands of samples from the FULL posterior. Slow (minutes). Output is a distribution → credible intervals, posterior predictive checks, R-hat/ESS diagnostics. Used for the FINAL deliverable.</w:t>
      </w:r>
    </w:p>
    <w:p>
      <w:r>
        <w:rPr>
          <w:b/>
          <w:i/>
          <w:color w:val="B04030"/>
        </w:rPr>
        <w:t>Worked example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Two customers, same point estimate £450:</w:t>
      </w:r>
    </w:p>
    <w:p>
      <w:pPr>
        <w:spacing w:after="0"/>
        <w:ind w:left="504"/>
      </w:pPr>
      <w:r>
        <w:rPr>
          <w:rFonts w:ascii="Consolas" w:hAnsi="Consolas"/>
          <w:sz w:val="20"/>
        </w:rPr>
        <w:t xml:space="preserve">  A (20 purchases): MCMC £450, 90% CI [410, 490]  (tight — we trust it)</w:t>
      </w:r>
    </w:p>
    <w:p>
      <w:pPr>
        <w:spacing w:after="0"/>
        <w:ind w:left="504"/>
      </w:pPr>
      <w:r>
        <w:rPr>
          <w:rFonts w:ascii="Consolas" w:hAnsi="Consolas"/>
          <w:sz w:val="20"/>
        </w:rPr>
        <w:t xml:space="preserve">  B (2 purchases):  MCMC £450, 90% CI [120, 980]  (wide — thin evidence)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MAP gives both the SAME £450 and hides the difference; MCMC exposes it.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Phase 5 built with MAP; the production fit (05b) uses MCMC for credible intervals.</w:t>
      </w:r>
    </w:p>
    <w:p>
      <w:pPr>
        <w:pStyle w:val="Heading1"/>
      </w:pPr>
      <w:r>
        <w:rPr>
          <w:color w:val="1F4E79"/>
        </w:rPr>
        <w:t>How it all fits together</w:t>
      </w:r>
    </w:p>
    <w:p>
      <w:pPr>
        <w:pStyle w:val="ListBullet"/>
      </w:pPr>
      <w:r>
        <w:t>Gate: confirm spend ⟂ frequency (Gamma-Gamma is valid).</w:t>
      </w:r>
    </w:p>
    <w:p>
      <w:pPr>
        <w:pStyle w:val="ListBullet"/>
      </w:pPr>
      <w:r>
        <w:t>BG/NBD: expected future purchases + P(alive), from (frequency, recency, T).</w:t>
      </w:r>
    </w:p>
    <w:p>
      <w:pPr>
        <w:pStyle w:val="ListBullet"/>
      </w:pPr>
      <w:r>
        <w:t>Gamma-Gamma: expected £/transaction, shrunk toward the population for thin-evidence customers.</w:t>
      </w:r>
    </w:p>
    <w:p>
      <w:pPr>
        <w:pStyle w:val="ListBullet"/>
      </w:pPr>
      <w:r>
        <w:t>CLV = purchases × spend over 12 months; one-timers use the population-mean spend.</w:t>
      </w:r>
    </w:p>
    <w:p>
      <w:pPr>
        <w:pStyle w:val="ListBullet"/>
      </w:pPr>
      <w:r>
        <w:t>Validate by temporal holdout (calibration + parameter stability), read honestly.</w:t>
      </w:r>
    </w:p>
    <w:p>
      <w:pPr>
        <w:pStyle w:val="ListBullet"/>
      </w:pPr>
      <w:r>
        <w:t>Deliver with MCMC so every CLV carries a credible interval.</w:t>
      </w:r>
    </w:p>
    <w:p>
      <w:pPr>
        <w:pStyle w:val="ListBullet"/>
      </w:pPr>
      <w:r>
        <w:t>Phase 6 joins CLV to the K=3 segments on Customer ID — the free cross-validation.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