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4E79"/>
        </w:rPr>
        <w:t>Segment Profiling &amp; Validation</w:t>
      </w:r>
    </w:p>
    <w:p>
      <w:r>
        <w:rPr>
          <w:i/>
          <w:color w:val="555555"/>
          <w:sz w:val="22"/>
        </w:rPr>
        <w:t>Design discussion #7a - turning clusters into named, validated personas</w:t>
      </w:r>
    </w:p>
    <w:p>
      <w:r>
        <w:rPr>
          <w:color w:val="555555"/>
          <w:sz w:val="18"/>
        </w:rPr>
        <w:t>Customer Segmentation Project  |  Planning Notes  |  17 June 2026</w:t>
      </w:r>
    </w:p>
    <w:p/>
    <w:p>
      <w:r>
        <w:t>Added 18 June 2026. Once clustering produces labels, this is how we turn them into named personas (Section 1) and PROVE the personas are real and distinct (Section 2). Companion doc 14 covers recommendations + success criteria.</w:t>
      </w:r>
    </w:p>
    <w:p>
      <w:pPr>
        <w:pStyle w:val="Heading1"/>
      </w:pPr>
      <w:r>
        <w:rPr>
          <w:color w:val="1F4E79"/>
        </w:rPr>
        <w:t>Section 1 - From clusters to personas (profiling discipline)</w:t>
      </w:r>
    </w:p>
    <w:p>
      <w:r>
        <w:t>A cluster label (0,1,2,3) is meaningless until characterised. Two rules.</w:t>
      </w:r>
    </w:p>
    <w:p>
      <w:pPr>
        <w:pStyle w:val="Heading2"/>
      </w:pPr>
      <w:r>
        <w:rPr>
          <w:color w:val="1F4E79"/>
        </w:rPr>
        <w:t>Rule (a) - profile on ORIGINAL units, not the modelling space</w:t>
      </w:r>
    </w:p>
    <w:p>
      <w:r>
        <w:t>Clustering ran on scaled log-features; those centroids are uninterpretable ('log-monetary z=0.8' means nothing to a marketer). For naming, invert back to RAW units and report per-segment MEDIANS (robust to residual skew). The segment profile table, with the business reason for each column:</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Column</w:t>
            </w:r>
          </w:p>
        </w:tc>
        <w:tc>
          <w:tcPr>
            <w:tcW w:type="dxa" w:w="4320"/>
          </w:tcPr>
          <w:p>
            <w:r/>
            <w:r>
              <w:rPr>
                <w:b/>
                <w:sz w:val="20"/>
              </w:rPr>
              <w:t>Business meaning (what decision it drives)</w:t>
            </w:r>
          </w:p>
        </w:tc>
      </w:tr>
      <w:tr>
        <w:tc>
          <w:tcPr>
            <w:tcW w:type="dxa" w:w="4320"/>
          </w:tcPr>
          <w:p>
            <w:r/>
            <w:r>
              <w:rPr>
                <w:sz w:val="20"/>
              </w:rPr>
              <w:t>Segment</w:t>
            </w:r>
          </w:p>
        </w:tc>
        <w:tc>
          <w:tcPr>
            <w:tcW w:type="dxa" w:w="4320"/>
          </w:tcPr>
          <w:p>
            <w:r/>
            <w:r>
              <w:rPr>
                <w:sz w:val="20"/>
              </w:rPr>
              <w:t>Unit of action - one segment = one playbook + one budget line</w:t>
            </w:r>
          </w:p>
        </w:tc>
      </w:tr>
      <w:tr>
        <w:tc>
          <w:tcPr>
            <w:tcW w:type="dxa" w:w="4320"/>
          </w:tcPr>
          <w:p>
            <w:r/>
            <w:r>
              <w:rPr>
                <w:sz w:val="20"/>
              </w:rPr>
              <w:t>n (%)</w:t>
            </w:r>
          </w:p>
        </w:tc>
        <w:tc>
          <w:tcPr>
            <w:tcW w:type="dxa" w:w="4320"/>
          </w:tcPr>
          <w:p>
            <w:r/>
            <w:r>
              <w:rPr>
                <w:sz w:val="20"/>
              </w:rPr>
              <w:t>Size / reach - sizes the opportunity &amp; cost; whether a dedicated playbook is worth it; flags non-viable tiny groups</w:t>
            </w:r>
          </w:p>
        </w:tc>
      </w:tr>
      <w:tr>
        <w:tc>
          <w:tcPr>
            <w:tcW w:type="dxa" w:w="4320"/>
          </w:tcPr>
          <w:p>
            <w:r/>
            <w:r>
              <w:rPr>
                <w:sz w:val="20"/>
              </w:rPr>
              <w:t>Median Recency (days)</w:t>
            </w:r>
          </w:p>
        </w:tc>
        <w:tc>
          <w:tcPr>
            <w:tcW w:type="dxa" w:w="4320"/>
          </w:tcPr>
          <w:p>
            <w:r/>
            <w:r>
              <w:rPr>
                <w:sz w:val="20"/>
              </w:rPr>
              <w:t>Churn-risk / urgency - timing of intervention; which lifecycle stage</w:t>
            </w:r>
          </w:p>
        </w:tc>
      </w:tr>
      <w:tr>
        <w:tc>
          <w:tcPr>
            <w:tcW w:type="dxa" w:w="4320"/>
          </w:tcPr>
          <w:p>
            <w:r/>
            <w:r>
              <w:rPr>
                <w:sz w:val="20"/>
              </w:rPr>
              <w:t>Median Frequency (orders)</w:t>
            </w:r>
          </w:p>
        </w:tc>
        <w:tc>
          <w:tcPr>
            <w:tcW w:type="dxa" w:w="4320"/>
          </w:tcPr>
          <w:p>
            <w:r/>
            <w:r>
              <w:rPr>
                <w:sz w:val="20"/>
              </w:rPr>
              <w:t>Loyalty / habit strength - contact cadence, cross-sell, loyalty-programme fit</w:t>
            </w:r>
          </w:p>
        </w:tc>
      </w:tr>
      <w:tr>
        <w:tc>
          <w:tcPr>
            <w:tcW w:type="dxa" w:w="4320"/>
          </w:tcPr>
          <w:p>
            <w:r/>
            <w:r>
              <w:rPr>
                <w:sz w:val="20"/>
              </w:rPr>
              <w:t>Median Monetary (GBP)</w:t>
            </w:r>
          </w:p>
        </w:tc>
        <w:tc>
          <w:tcPr>
            <w:tcW w:type="dxa" w:w="4320"/>
          </w:tcPr>
          <w:p>
            <w:r/>
            <w:r>
              <w:rPr>
                <w:sz w:val="20"/>
              </w:rPr>
              <w:t>Realised value to date - tiering; how much margin there is to fund perks</w:t>
            </w:r>
          </w:p>
        </w:tc>
      </w:tr>
      <w:tr>
        <w:tc>
          <w:tcPr>
            <w:tcW w:type="dxa" w:w="4320"/>
          </w:tcPr>
          <w:p>
            <w:r/>
            <w:r>
              <w:rPr>
                <w:sz w:val="20"/>
              </w:rPr>
              <w:t>Tenure</w:t>
            </w:r>
          </w:p>
        </w:tc>
        <w:tc>
          <w:tcPr>
            <w:tcW w:type="dxa" w:w="4320"/>
          </w:tcPr>
          <w:p>
            <w:r/>
            <w:r>
              <w:rPr>
                <w:sz w:val="20"/>
              </w:rPr>
              <w:t>Relationship maturity - context for the rest (new-and-rising vs long-loyal); sharpens churn read</w:t>
            </w:r>
          </w:p>
        </w:tc>
      </w:tr>
      <w:tr>
        <w:tc>
          <w:tcPr>
            <w:tcW w:type="dxa" w:w="4320"/>
          </w:tcPr>
          <w:p>
            <w:r/>
            <w:r>
              <w:rPr>
                <w:sz w:val="20"/>
              </w:rPr>
              <w:t>Rev share (current)</w:t>
            </w:r>
          </w:p>
        </w:tc>
        <w:tc>
          <w:tcPr>
            <w:tcW w:type="dxa" w:w="4320"/>
          </w:tcPr>
          <w:p>
            <w:r/>
            <w:r>
              <w:rPr>
                <w:sz w:val="20"/>
              </w:rPr>
              <w:t>Revenue concentration TODAY - what is at risk if the segment churns; justifies defensive spend</w:t>
            </w:r>
          </w:p>
        </w:tc>
      </w:tr>
      <w:tr>
        <w:tc>
          <w:tcPr>
            <w:tcW w:type="dxa" w:w="4320"/>
          </w:tcPr>
          <w:p>
            <w:r/>
            <w:r>
              <w:rPr>
                <w:sz w:val="20"/>
              </w:rPr>
              <w:t>CLV share (predicted)</w:t>
            </w:r>
          </w:p>
        </w:tc>
        <w:tc>
          <w:tcPr>
            <w:tcW w:type="dxa" w:w="4320"/>
          </w:tcPr>
          <w:p>
            <w:r/>
            <w:r>
              <w:rPr>
                <w:sz w:val="20"/>
              </w:rPr>
              <w:t>Future-value concentration - where value is heading; justifies growth spend</w:t>
            </w:r>
          </w:p>
        </w:tc>
      </w:tr>
    </w:tbl>
    <w:p/>
    <w:p>
      <w:r>
        <w:t>The most decision-relevant signal is the GAP between Rev share (now) and CLV share (future):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Pattern</w:t>
            </w:r>
          </w:p>
        </w:tc>
        <w:tc>
          <w:tcPr>
            <w:tcW w:type="dxa" w:w="2880"/>
          </w:tcPr>
          <w:p>
            <w:r/>
            <w:r>
              <w:rPr>
                <w:b/>
                <w:sz w:val="20"/>
              </w:rPr>
              <w:t>Reading</w:t>
            </w:r>
          </w:p>
        </w:tc>
        <w:tc>
          <w:tcPr>
            <w:tcW w:type="dxa" w:w="2880"/>
          </w:tcPr>
          <w:p>
            <w:r/>
            <w:r>
              <w:rPr>
                <w:b/>
                <w:sz w:val="20"/>
              </w:rPr>
              <w:t>Action</w:t>
            </w:r>
          </w:p>
        </w:tc>
      </w:tr>
      <w:tr>
        <w:tc>
          <w:tcPr>
            <w:tcW w:type="dxa" w:w="2880"/>
          </w:tcPr>
          <w:p>
            <w:r/>
            <w:r>
              <w:rPr>
                <w:sz w:val="20"/>
              </w:rPr>
              <w:t>High rev share, low CLV share</w:t>
            </w:r>
          </w:p>
        </w:tc>
        <w:tc>
          <w:tcPr>
            <w:tcW w:type="dxa" w:w="2880"/>
          </w:tcPr>
          <w:p>
            <w:r/>
            <w:r>
              <w:rPr>
                <w:sz w:val="20"/>
              </w:rPr>
              <w:t>Declining segment - big today, fading</w:t>
            </w:r>
          </w:p>
        </w:tc>
        <w:tc>
          <w:tcPr>
            <w:tcW w:type="dxa" w:w="2880"/>
          </w:tcPr>
          <w:p>
            <w:r/>
            <w:r>
              <w:rPr>
                <w:sz w:val="20"/>
              </w:rPr>
              <w:t>Harvest, do not over-invest</w:t>
            </w:r>
          </w:p>
        </w:tc>
      </w:tr>
      <w:tr>
        <w:tc>
          <w:tcPr>
            <w:tcW w:type="dxa" w:w="2880"/>
          </w:tcPr>
          <w:p>
            <w:r/>
            <w:r>
              <w:rPr>
                <w:sz w:val="20"/>
              </w:rPr>
              <w:t>Low rev share, high CLV share</w:t>
            </w:r>
          </w:p>
        </w:tc>
        <w:tc>
          <w:tcPr>
            <w:tcW w:type="dxa" w:w="2880"/>
          </w:tcPr>
          <w:p>
            <w:r/>
            <w:r>
              <w:rPr>
                <w:sz w:val="20"/>
              </w:rPr>
              <w:t>Rising segment - small today, growing</w:t>
            </w:r>
          </w:p>
        </w:tc>
        <w:tc>
          <w:tcPr>
            <w:tcW w:type="dxa" w:w="2880"/>
          </w:tcPr>
          <w:p>
            <w:r/>
            <w:r>
              <w:rPr>
                <w:sz w:val="20"/>
              </w:rPr>
              <w:t>Invest ahead of the curve</w:t>
            </w:r>
          </w:p>
        </w:tc>
      </w:tr>
      <w:tr>
        <w:tc>
          <w:tcPr>
            <w:tcW w:type="dxa" w:w="2880"/>
          </w:tcPr>
          <w:p>
            <w:r/>
            <w:r>
              <w:rPr>
                <w:sz w:val="20"/>
              </w:rPr>
              <w:t>High both</w:t>
            </w:r>
          </w:p>
        </w:tc>
        <w:tc>
          <w:tcPr>
            <w:tcW w:type="dxa" w:w="2880"/>
          </w:tcPr>
          <w:p>
            <w:r/>
            <w:r>
              <w:rPr>
                <w:sz w:val="20"/>
              </w:rPr>
              <w:t>The genuine core</w:t>
            </w:r>
          </w:p>
        </w:tc>
        <w:tc>
          <w:tcPr>
            <w:tcW w:type="dxa" w:w="2880"/>
          </w:tcPr>
          <w:p>
            <w:r/>
            <w:r>
              <w:rPr>
                <w:sz w:val="20"/>
              </w:rPr>
              <w:t>Protect at all costs</w:t>
            </w:r>
          </w:p>
        </w:tc>
      </w:tr>
      <w:tr>
        <w:tc>
          <w:tcPr>
            <w:tcW w:type="dxa" w:w="2880"/>
          </w:tcPr>
          <w:p>
            <w:r/>
            <w:r>
              <w:rPr>
                <w:sz w:val="20"/>
              </w:rPr>
              <w:t>Low both</w:t>
            </w:r>
          </w:p>
        </w:tc>
        <w:tc>
          <w:tcPr>
            <w:tcW w:type="dxa" w:w="2880"/>
          </w:tcPr>
          <w:p>
            <w:r/>
            <w:r>
              <w:rPr>
                <w:sz w:val="20"/>
              </w:rPr>
              <w:t>Marginal</w:t>
            </w:r>
          </w:p>
        </w:tc>
        <w:tc>
          <w:tcPr>
            <w:tcW w:type="dxa" w:w="2880"/>
          </w:tcPr>
          <w:p>
            <w:r/>
            <w:r>
              <w:rPr>
                <w:sz w:val="20"/>
              </w:rPr>
              <w:t>Deprioritise</w:t>
            </w:r>
          </w:p>
        </w:tc>
      </w:tr>
    </w:tbl>
    <w:p/>
    <w:p>
      <w:pPr>
        <w:pStyle w:val="Heading2"/>
      </w:pPr>
      <w:r>
        <w:rPr>
          <w:color w:val="1F4E79"/>
        </w:rPr>
        <w:t>How n% is calculated</w:t>
      </w:r>
    </w:p>
    <w:p>
      <w:pPr>
        <w:pStyle w:val="ListBullet"/>
      </w:pPr>
      <w:r>
        <w:t>n_k = distinct CUSTOMERS in segment k, computed on the one-row-per-customer table (NOT invoice lines). %_k = n_k / N_total x 100.</w:t>
      </w:r>
    </w:p>
    <w:p>
      <w:pPr>
        <w:pStyle w:val="ListBullet"/>
      </w:pPr>
      <w:r>
        <w:t>Denominator N_total = the CLEANED, clustered customer base (~5,900) - not all transactions or all humans who ever transacted. State the scope explicitly: '% of analysable customers'.</w:t>
      </w:r>
    </w:p>
    <w:p>
      <w:pPr>
        <w:pStyle w:val="ListBullet"/>
      </w:pPr>
      <w:r>
        <w:t>Hard vs soft: K-Means/hierarchical give an unambiguous count. GMM is soft -&gt; use the hard (argmax responsibility) count for comparability across methods; the mixing weight pi_k is the model's own prevalence view. Report hard counts in the profile table.</w:t>
      </w:r>
    </w:p>
    <w:p>
      <w:pPr>
        <w:pStyle w:val="Heading2"/>
      </w:pPr>
      <w:r>
        <w:rPr>
          <w:color w:val="1F4E79"/>
        </w:rPr>
        <w:t>Rule (b) - name AFTER inspecting the profile, not before</w:t>
      </w:r>
    </w:p>
    <w:p>
      <w:r>
        <w:t>Derive the name from the behavioural signature; do NOT impose textbook personas (Champions/Loyal/Potential/At-risk/Hibernating) and bend the data to fit. 'Recent + frequent + high-spend' earns 'Champion'; a 'frequent but low-value wholesaler' group is named for what it actually is. Forcing canonical names onto non-matching clusters is confirmation bias - a real failure mode.</w:t>
      </w:r>
    </w:p>
    <w:p>
      <w:pPr>
        <w:pStyle w:val="Heading1"/>
      </w:pPr>
      <w:r>
        <w:rPr>
          <w:color w:val="1F4E79"/>
        </w:rPr>
        <w:t>Section 2 - Validating the personas are real and distinct</w:t>
      </w:r>
    </w:p>
    <w:p>
      <w:r>
        <w:t>Separate from stability (#4: 'do the clusters reproduce?'). This asks: 'are the named segments genuinely different, on dimensions that matter, and would an independent method agree?'</w:t>
      </w:r>
    </w:p>
    <w:p>
      <w:pPr>
        <w:pStyle w:val="Heading2"/>
      </w:pPr>
      <w:r>
        <w:rPr>
          <w:color w:val="1F4E79"/>
        </w:rPr>
        <w:t>The circularity problem and the three tiers of evidence</w:t>
      </w:r>
    </w:p>
    <w:p>
      <w:r>
        <w:t>Testing whether segments differ on the features used to cluster is near-circular (clustering optimises exactly that). So evidence comes in tiers: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Tier</w:t>
            </w:r>
          </w:p>
        </w:tc>
        <w:tc>
          <w:tcPr>
            <w:tcW w:type="dxa" w:w="2880"/>
          </w:tcPr>
          <w:p>
            <w:r/>
            <w:r>
              <w:rPr>
                <w:b/>
                <w:sz w:val="20"/>
              </w:rPr>
              <w:t>Test</w:t>
            </w:r>
          </w:p>
        </w:tc>
        <w:tc>
          <w:tcPr>
            <w:tcW w:type="dxa" w:w="2880"/>
          </w:tcPr>
          <w:p>
            <w:r/>
            <w:r>
              <w:rPr>
                <w:b/>
                <w:sz w:val="20"/>
              </w:rPr>
              <w:t>Strength</w:t>
            </w:r>
          </w:p>
        </w:tc>
      </w:tr>
      <w:tr>
        <w:tc>
          <w:tcPr>
            <w:tcW w:type="dxa" w:w="2880"/>
          </w:tcPr>
          <w:p>
            <w:r/>
            <w:r>
              <w:rPr>
                <w:sz w:val="20"/>
              </w:rPr>
              <w:t>1 (weak/circular)</w:t>
            </w:r>
          </w:p>
        </w:tc>
        <w:tc>
          <w:tcPr>
            <w:tcW w:type="dxa" w:w="2880"/>
          </w:tcPr>
          <w:p>
            <w:r/>
            <w:r>
              <w:rPr>
                <w:sz w:val="20"/>
              </w:rPr>
              <w:t>Separation on the CLUSTERING features</w:t>
            </w:r>
          </w:p>
        </w:tc>
        <w:tc>
          <w:tcPr>
            <w:tcW w:type="dxa" w:w="2880"/>
          </w:tcPr>
          <w:p>
            <w:r/>
            <w:r>
              <w:rPr>
                <w:sz w:val="20"/>
              </w:rPr>
              <w:t>Confirms + identifies which features; mildly circular</w:t>
            </w:r>
          </w:p>
        </w:tc>
      </w:tr>
      <w:tr>
        <w:tc>
          <w:tcPr>
            <w:tcW w:type="dxa" w:w="2880"/>
          </w:tcPr>
          <w:p>
            <w:r/>
            <w:r>
              <w:rPr>
                <w:sz w:val="20"/>
              </w:rPr>
              <w:t>2 (strong)</w:t>
            </w:r>
          </w:p>
        </w:tc>
        <w:tc>
          <w:tcPr>
            <w:tcW w:type="dxa" w:w="2880"/>
          </w:tcPr>
          <w:p>
            <w:r/>
            <w:r>
              <w:rPr>
                <w:sz w:val="20"/>
              </w:rPr>
              <w:t>Separation on EXTERNAL variables the clustering never saw</w:t>
            </w:r>
          </w:p>
        </w:tc>
        <w:tc>
          <w:tcPr>
            <w:tcW w:type="dxa" w:w="2880"/>
          </w:tcPr>
          <w:p>
            <w:r/>
            <w:r>
              <w:rPr>
                <w:sz w:val="20"/>
              </w:rPr>
              <w:t>Non-circular proof</w:t>
            </w:r>
          </w:p>
        </w:tc>
      </w:tr>
      <w:tr>
        <w:tc>
          <w:tcPr>
            <w:tcW w:type="dxa" w:w="2880"/>
          </w:tcPr>
          <w:p>
            <w:r/>
            <w:r>
              <w:rPr>
                <w:sz w:val="20"/>
              </w:rPr>
              <w:t>3 (strong)</w:t>
            </w:r>
          </w:p>
        </w:tc>
        <w:tc>
          <w:tcPr>
            <w:tcW w:type="dxa" w:w="2880"/>
          </w:tcPr>
          <w:p>
            <w:r/>
            <w:r>
              <w:rPr>
                <w:sz w:val="20"/>
              </w:rPr>
              <w:t>Agreement with an INDEPENDENT labelling (rule-based RFM)</w:t>
            </w:r>
          </w:p>
        </w:tc>
        <w:tc>
          <w:tcPr>
            <w:tcW w:type="dxa" w:w="2880"/>
          </w:tcPr>
          <w:p>
            <w:r/>
            <w:r>
              <w:rPr>
                <w:sz w:val="20"/>
              </w:rPr>
              <w:t>Corroboration</w:t>
            </w:r>
          </w:p>
        </w:tc>
      </w:tr>
    </w:tbl>
    <w:p/>
    <w:p>
      <w:pPr>
        <w:pStyle w:val="Heading2"/>
      </w:pPr>
      <w:r>
        <w:rPr>
          <w:color w:val="1F4E79"/>
        </w:rPr>
        <w:t>(A) Separation on clustering features - quantify, but read carefully</w:t>
      </w:r>
    </w:p>
    <w:p>
      <w:pPr>
        <w:pStyle w:val="ListBullet"/>
      </w:pPr>
      <w:r>
        <w:t>Omnibus = Kruskal-Wallis (non-parametric ANOVA on ranks) - chosen because RFM is skewed and heteroscedastic even after log, violating ANOVA's assumptions. Being rank-based, it gives IDENTICAL results on raw/log/scaled features (no 'which space?' choice). A rejection means the DISTRIBUTIONS differ (not strictly the medians, since segment shapes differ).</w:t>
      </w:r>
    </w:p>
    <w:p>
      <w:pPr>
        <w:pStyle w:val="ListBullet"/>
      </w:pPr>
      <w:r>
        <w:t>Large-n caveat: at ~5,900 customers everything is 'significant' (p~0); p-values are uninformative. Report EFFECT SIZE: eta^2_H = (H - k + 1)/(N - k) in [0,1] (or epsilon^2). Rank features by it -&gt; the discriminative-feature ranking that justifies the names (usually Recency &amp; Monetary; Tenure weak).</w:t>
      </w:r>
    </w:p>
    <w:p>
      <w:pPr>
        <w:pStyle w:val="ListBullet"/>
      </w:pPr>
      <w:r>
        <w:t>Post-hoc = Dunn's test (uses the pooled KW ranks) with Holm correction -&gt; which segment PAIRS differ; pairwise magnitude via Cliff's delta. A pair small on ALL features = secret twins = K too high (feeds back to discussion #4).</w:t>
      </w:r>
    </w:p>
    <w:p>
      <w:pPr>
        <w:pStyle w:val="ListBullet"/>
      </w:pPr>
      <w:r>
        <w:t>Honest framing: this tier is DIAGNOSTIC (which features, which pairs collapse), not proof of 'real'.</w:t>
      </w:r>
    </w:p>
    <w:p>
      <w:pPr>
        <w:pStyle w:val="Heading2"/>
      </w:pPr>
      <w:r>
        <w:rPr>
          <w:color w:val="1F4E79"/>
        </w:rPr>
        <w:t>(B) Multivariate / classifier-based separation</w:t>
      </w:r>
    </w:p>
    <w:p>
      <w:pPr>
        <w:pStyle w:val="ListBullet"/>
      </w:pPr>
      <w:r>
        <w:t>(A) tests one feature at a time; segments can overlap on each feature ALONE yet separate in COMBINATION (e.g. high-frequency/low-basket vs low-frequency/high-basket sit in different corners).</w:t>
      </w:r>
    </w:p>
    <w:p>
      <w:pPr>
        <w:pStyle w:val="ListBullet"/>
      </w:pPr>
      <w:r>
        <w:t>Centroid separation: distance between segment centres in the full scaled space.</w:t>
      </w:r>
    </w:p>
    <w:p>
      <w:pPr>
        <w:pStyle w:val="ListBullet"/>
      </w:pPr>
      <w:r>
        <w:t>Classifier check: hide the labels, train a simple model (logistic / random forest) to predict the segment from features. High CROSS-VALIDATED accuracy = the segments are separable; the feature importances double as interpretation (which features define each segment, multivariate). Still tier-1 (same features) - CV ensures we measure real separability, not memorisation.</w:t>
      </w:r>
    </w:p>
    <w:p>
      <w:pPr>
        <w:pStyle w:val="Heading2"/>
      </w:pPr>
      <w:r>
        <w:rPr>
          <w:color w:val="1F4E79"/>
        </w:rPr>
        <w:t>(C) External-variable check - the GOLD STANDARD (non-circular)</w:t>
      </w:r>
    </w:p>
    <w:p>
      <w:r>
        <w:t>Do the segments ALSO differ on variables the clustering never saw? If groups built only from R/F/M/Tenure also differ in what they buy or their future value, that difference is genuinely discovered, not baked in. (Analogy: sort people by height, then find the groups also differ in the sport they play - a real finding, because you did not sort on sport.)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
              <w:rPr>
                <w:b/>
                <w:sz w:val="20"/>
              </w:rPr>
              <w:t>External variable</w:t>
            </w:r>
          </w:p>
        </w:tc>
        <w:tc>
          <w:tcPr>
            <w:tcW w:type="dxa" w:w="2880"/>
          </w:tcPr>
          <w:p>
            <w:r/>
            <w:r>
              <w:rPr>
                <w:b/>
                <w:sz w:val="20"/>
              </w:rPr>
              <w:t>Question</w:t>
            </w:r>
          </w:p>
        </w:tc>
        <w:tc>
          <w:tcPr>
            <w:tcW w:type="dxa" w:w="2880"/>
          </w:tcPr>
          <w:p>
            <w:r/>
            <w:r>
              <w:rPr>
                <w:b/>
                <w:sz w:val="20"/>
              </w:rPr>
              <w:t>Source (excluded from clustering)</w:t>
            </w:r>
          </w:p>
        </w:tc>
      </w:tr>
      <w:tr>
        <w:tc>
          <w:tcPr>
            <w:tcW w:type="dxa" w:w="2880"/>
          </w:tcPr>
          <w:p>
            <w:r/>
            <w:r>
              <w:rPr>
                <w:sz w:val="20"/>
              </w:rPr>
              <w:t>Predicted CLV</w:t>
            </w:r>
          </w:p>
        </w:tc>
        <w:tc>
          <w:tcPr>
            <w:tcW w:type="dxa" w:w="2880"/>
          </w:tcPr>
          <w:p>
            <w:r/>
            <w:r>
              <w:rPr>
                <w:sz w:val="20"/>
              </w:rPr>
              <w:t>Differ in future value?</w:t>
            </w:r>
          </w:p>
        </w:tc>
        <w:tc>
          <w:tcPr>
            <w:tcW w:type="dxa" w:w="2880"/>
          </w:tcPr>
          <w:p>
            <w:r/>
            <w:r>
              <w:rPr>
                <w:sz w:val="20"/>
              </w:rPr>
              <w:t>the separate BG/NBD model</w:t>
            </w:r>
          </w:p>
        </w:tc>
      </w:tr>
      <w:tr>
        <w:tc>
          <w:tcPr>
            <w:tcW w:type="dxa" w:w="2880"/>
          </w:tcPr>
          <w:p>
            <w:r/>
            <w:r>
              <w:rPr>
                <w:sz w:val="20"/>
              </w:rPr>
              <w:t>Product mix</w:t>
            </w:r>
          </w:p>
        </w:tc>
        <w:tc>
          <w:tcPr>
            <w:tcW w:type="dxa" w:w="2880"/>
          </w:tcPr>
          <w:p>
            <w:r/>
            <w:r>
              <w:rPr>
                <w:sz w:val="20"/>
              </w:rPr>
              <w:t>Buy different things?</w:t>
            </w:r>
          </w:p>
        </w:tc>
        <w:tc>
          <w:tcPr>
            <w:tcW w:type="dxa" w:w="2880"/>
          </w:tcPr>
          <w:p>
            <w:r/>
            <w:r>
              <w:rPr>
                <w:sz w:val="20"/>
              </w:rPr>
              <w:t>StockCode / Description</w:t>
            </w:r>
          </w:p>
        </w:tc>
      </w:tr>
      <w:tr>
        <w:tc>
          <w:tcPr>
            <w:tcW w:type="dxa" w:w="2880"/>
          </w:tcPr>
          <w:p>
            <w:r/>
            <w:r>
              <w:rPr>
                <w:sz w:val="20"/>
              </w:rPr>
              <w:t>Country</w:t>
            </w:r>
          </w:p>
        </w:tc>
        <w:tc>
          <w:tcPr>
            <w:tcW w:type="dxa" w:w="2880"/>
          </w:tcPr>
          <w:p>
            <w:r/>
            <w:r>
              <w:rPr>
                <w:sz w:val="20"/>
              </w:rPr>
              <w:t>Geographic skew?</w:t>
            </w:r>
          </w:p>
        </w:tc>
        <w:tc>
          <w:tcPr>
            <w:tcW w:type="dxa" w:w="2880"/>
          </w:tcPr>
          <w:p>
            <w:r/>
            <w:r>
              <w:rPr>
                <w:sz w:val="20"/>
              </w:rPr>
              <w:t>Country</w:t>
            </w:r>
          </w:p>
        </w:tc>
      </w:tr>
      <w:tr>
        <w:tc>
          <w:tcPr>
            <w:tcW w:type="dxa" w:w="2880"/>
          </w:tcPr>
          <w:p>
            <w:r/>
            <w:r>
              <w:rPr>
                <w:sz w:val="20"/>
              </w:rPr>
              <w:t>Return rate</w:t>
            </w:r>
          </w:p>
        </w:tc>
        <w:tc>
          <w:tcPr>
            <w:tcW w:type="dxa" w:w="2880"/>
          </w:tcPr>
          <w:p>
            <w:r/>
            <w:r>
              <w:rPr>
                <w:sz w:val="20"/>
              </w:rPr>
              <w:t>Return more/less?</w:t>
            </w:r>
          </w:p>
        </w:tc>
        <w:tc>
          <w:tcPr>
            <w:tcW w:type="dxa" w:w="2880"/>
          </w:tcPr>
          <w:p>
            <w:r/>
            <w:r>
              <w:rPr>
                <w:sz w:val="20"/>
              </w:rPr>
              <w:t>cancellations / returns</w:t>
            </w:r>
          </w:p>
        </w:tc>
      </w:tr>
    </w:tbl>
    <w:p/>
    <w:p>
      <w:pPr>
        <w:pStyle w:val="ListBullet"/>
      </w:pPr>
      <w:r>
        <w:t>Numeric externals (CLV, return rate) -&gt; effect-size comparison (now NON-circular). Categorical (product, country) -&gt; cross-tab + chi-square / Cramer's V.</w:t>
      </w:r>
    </w:p>
    <w:p>
      <w:pPr>
        <w:pStyle w:val="ListBullet"/>
      </w:pPr>
      <w:r>
        <w:t>Example: segments built only from R/F/M/Tenure show avg predicted CLV of Champions 800 &gt; Loyal 300 &gt; At-risk 150 &gt; One-timers 20 (GBP) - orderly differences on a variable never seen -&gt; real (this is also the doc-12 internal-consistency check).</w:t>
      </w:r>
    </w:p>
    <w:p>
      <w:pPr>
        <w:pStyle w:val="ListBullet"/>
      </w:pPr>
      <w:r>
        <w:t>NULL result meaning: if segments differ on NO external variable, they may be arbitrary slices of the spend axis with no deeper meaning - report that honestly.</w:t>
      </w:r>
    </w:p>
    <w:p>
      <w:pPr>
        <w:pStyle w:val="ListBullet"/>
      </w:pPr>
      <w:r>
        <w:t>Interview line: 'I checked separation on predicted value, product mix, and geography - things the model never saw - not just the features I clustered on. That is evidence the segments are real customer types, not an artifact of where I drew the lines.'</w:t>
      </w:r>
    </w:p>
    <w:p>
      <w:pPr>
        <w:pStyle w:val="Heading2"/>
      </w:pPr>
      <w:r>
        <w:rPr>
          <w:color w:val="1F4E79"/>
        </w:rPr>
        <w:t>(Tier 3) Agreement with rule-based RFM</w:t>
      </w:r>
    </w:p>
    <w:p>
      <w:pPr>
        <w:pStyle w:val="ListBullet"/>
      </w:pPr>
      <w:r>
        <w:t>Build the classic RFM quintile scores (R/F/M each 1-5) -&gt; rule-based segments, INDEPENDENT of the clustering. Cross-tab cluster vs rule segment; association via Cramer's V (or ARI). High agreement corroborates; structured divergence = the clustering REFINING the rules' arbitrary quintile cutoffs (a finding, not a fault).</w:t>
      </w:r>
    </w:p>
    <w:p>
      <w:pPr>
        <w:pStyle w:val="Heading2"/>
      </w:pPr>
      <w:r>
        <w:rPr>
          <w:color w:val="1F4E79"/>
        </w:rPr>
        <w:t>Visuals (observability)</w:t>
      </w:r>
    </w:p>
    <w:p>
      <w:pPr>
        <w:pStyle w:val="ListBullet"/>
      </w:pPr>
      <w:r>
        <w:t>Snake plot (standardised segment medians as lines - the canonical RFM visual); radar / parallel-coordinates; PCA scatter coloured by segment (note: 2-D PCA UNDERSTATES separation, so overlap there is not proof of non-separation); violin/box per discriminative feature.</w:t>
      </w:r>
    </w:p>
    <w:p>
      <w:pPr>
        <w:pStyle w:val="Heading2"/>
      </w:pPr>
      <w:r>
        <w:rPr>
          <w:color w:val="1F4E79"/>
        </w:rPr>
        <w:t>Pitfalls</w:t>
      </w:r>
    </w:p>
    <w:p>
      <w:pPr>
        <w:pStyle w:val="ListBullet"/>
      </w:pPr>
      <w:r>
        <w:t>Treating p-values as evidence at this n; claiming 'medians differ' when shapes differ; circular testing on clustering features only; over-reading 2-D PCA overlap; validating tiny segments.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