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Data Cleaning Decisions</w:t>
      </w:r>
    </w:p>
    <w:p>
      <w:r>
        <w:rPr>
          <w:i/>
          <w:color w:val="555555"/>
          <w:sz w:val="22"/>
        </w:rPr>
        <w:t>Design discussion #9 - the pre-processing logic, decided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19 June 2026. The specific cleaning decisions behind the Pre-processing stage, settled one by one. Visualised as a 4-node flow in design/data-cleaning.md (Load &amp; Merge -&gt; Drop Invalid Records -&gt; Resolve Non-Purchases -&gt; Clean Dataset).</w:t>
      </w:r>
    </w:p>
    <w:p>
      <w:pPr>
        <w:pStyle w:val="Heading1"/>
      </w:pPr>
      <w:r>
        <w:rPr>
          <w:color w:val="1F4E79"/>
        </w:rPr>
        <w:t>Decision 1 - Resolve Non-Purchases: DROP, not net</w:t>
      </w:r>
    </w:p>
    <w:p>
      <w:r>
        <w:t>Question: cancellations (C-invoices) and negative-quantity returns reduce a customer's real value. Net them out of Monetary, or drop them and model completed purchases? Example: buy GBP 1,000, return GBP 900 -&gt; DROP shows a GBP 1,000 customer; NET shows a GBP 100 customer.</w:t>
      </w:r>
    </w:p>
    <w:p>
      <w:pPr>
        <w:pStyle w:val="ListBullet"/>
      </w:pPr>
      <w:r>
        <w:t>NET rejected: creates &lt;= 0 Monetary edge cases (breaks log1p; Gamma-Gamma requires strictly positive per-transaction values) and conflicts with the lifetimes workflow (BG/NBD needs purchase events; Gamma-Gamma needs positive values).</w:t>
      </w:r>
    </w:p>
    <w:p>
      <w:pPr>
        <w:pStyle w:val="ListBullet"/>
      </w:pPr>
      <w:r>
        <w:t>DECISION = DROP: model Frequency/Recency/Tenure/Monetary on completed purchases only (positive, non-cancelled invoices). The return signal is NOT discarded - compute a per-customer return/cancellation RATE as its own behavioural feature, which doubles as a tier-2 external-validation variable (doc 13).</w:t>
      </w:r>
    </w:p>
    <w:p>
      <w:pPr>
        <w:pStyle w:val="ListBullet"/>
      </w:pPr>
      <w:r>
        <w:t>Honest caveat to report: a purchase later fully returned still counts as a purchase (no line-level matching) - but the return-rate feature surfaces that behaviour, so it is not hidden.</w:t>
      </w:r>
    </w:p>
    <w:p>
      <w:pPr>
        <w:pStyle w:val="Heading1"/>
      </w:pPr>
      <w:r>
        <w:rPr>
          <w:color w:val="1F4E79"/>
        </w:rPr>
        <w:t>Decision 2 - Drop Invalid Records (rules a-e)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Drop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a. Missing Customer 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rows with no Customer ID (~22.8%) - cannot attribute to a customer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b. Non-product StockCodes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service/fee/adjustment/test codes (list below) - POSTAGE EXCLUDED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c. Invalid price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Price &lt;= 0 (free items, adjustments, errors)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d. Zero quantity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Quantity == 0 (negatives handled by Decision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e. Exact duplicates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fully-identical rows (Invoice+StockCode+Qty+Date+Price+ID)</w:t>
            </w:r>
          </w:p>
        </w:tc>
      </w:tr>
    </w:tbl>
    <w:p/>
    <w:p>
      <w:r>
        <w:t>Non-product exclusion list (curated, verified in EDA): POST, DOT, C2, BANK CHARGES/CHARGE, AMAZONFEE, ADJUST/ADJUST2, M/m, D, S, B, CRUK, TEST001/2, gift_0001*, PADS.</w:t>
      </w:r>
    </w:p>
    <w:p>
      <w:r>
        <w:t>Principle: real products are 5-6 digit codes (sometimes a letter suffix like 85123A); the alphabetic/special codes are fees, postage, adjustments, or tests - they distort basket size and Monetary, so they are excluded.</w:t>
      </w:r>
    </w:p>
    <w:p>
      <w:r>
        <w:t>Postage (POST/DOT/C2) = EXCLUDED: it is a fee, not a product purchase; including it inflates basket value. Monetary therefore reflects PRODUCT spend. Optional refinement: Description-based non-sale rows (Manual, Adjust bad debt, damaged, found, ?, lost, smashed, wrongly coded) - let EDA surface them and add stragglers to the exclusion list rather than hard-coding more now.</w:t>
      </w:r>
    </w:p>
    <w:p>
      <w:pPr>
        <w:pStyle w:val="Heading1"/>
      </w:pPr>
      <w:r>
        <w:rPr>
          <w:color w:val="1F4E79"/>
        </w:rPr>
        <w:t>Decision 3 - Wholesaler flagging: moved to feature engineering</w:t>
      </w:r>
    </w:p>
    <w:p>
      <w:pPr>
        <w:pStyle w:val="ListBullet"/>
      </w:pPr>
      <w:r>
        <w:t>Placement: 'wholesaler' is a CUSTOMER-level judgement (needs aggregation), but cleaning operates at the transaction-ROW level. So the flag belongs in FEATURE ENGINEERING, not cleaning. The cleaning flow therefore ends at Clean Dataset (4 nodes); the wholesaler flag migrates to the feature-engineering stage.</w:t>
      </w:r>
    </w:p>
    <w:p>
      <w:pPr>
        <w:pStyle w:val="ListBullet"/>
      </w:pPr>
      <w:r>
        <w:t>Method: per-customer bulk metric = median units per invoice (robust to one odd order); FLAG the extreme upper tail via a documented cutoff (a high percentile ~ top 5%, or a robust IQR rule on log-units), verified in EDA. Keep the continuous metric too. Based on quantity-per-order (the defining wholesale behaviour), not spend.</w:t>
      </w:r>
    </w:p>
    <w:p>
      <w:pPr>
        <w:pStyle w:val="ListBullet"/>
      </w:pPr>
      <w:r>
        <w:t>It is a FLAG, not a filter - wholesalers stay in the data (they are likely the Champions); the tag is for profiling + as a possible external-validation covariate.</w:t>
      </w:r>
    </w:p>
    <w:p>
      <w:pPr>
        <w:pStyle w:val="Heading1"/>
      </w:pPr>
      <w:r>
        <w:rPr>
          <w:color w:val="1F4E79"/>
        </w:rPr>
        <w:t>The unifying principle - core vs supporting variables</w:t>
      </w:r>
    </w:p>
    <w:p>
      <w:r>
        <w:t>The wholesaler flag is one member of a SUPPORTING-variables lane that runs alongside the core feature pipeline:</w:t>
      </w:r>
    </w:p>
    <w:p>
      <w:pPr>
        <w:pStyle w:val="ListBullet"/>
      </w:pPr>
      <w:r>
        <w:t>Core lane (R/F/M/Tenure) -&gt; drives the CLUSTERING.</w:t>
      </w:r>
    </w:p>
    <w:p>
      <w:pPr>
        <w:pStyle w:val="ListBullet"/>
      </w:pPr>
      <w:r>
        <w:t>Supporting lane (wholesaler flag, Country, product mix, return-rate, predicted CLV) -&gt; NEVER enters the clustering matrix, but feeds EDA, validation, profiling, and recommendations.</w:t>
      </w:r>
    </w:p>
    <w:p>
      <w:r>
        <w:t>Rule of thumb threading the whole project: a supporting variable EXPLAINS and VALIDATES the segments; it never DEFINES them. This keeps the segmentation behaviourally pure and provides a stable of independent variables to interpret and stress-test it.</w:t>
      </w:r>
    </w:p>
    <w:p>
      <w:r>
        <w:t>Strategic fork EDA must resolve: are wholesalers a DISTINCT population warranting SEPARATE B2B/B2C segmentation, or do we cluster everyone together and flag? Decide after thorough EDA.</w:t>
      </w:r>
    </w:p>
    <w:p>
      <w:pPr>
        <w:pStyle w:val="Heading1"/>
      </w:pPr>
      <w:r>
        <w:rPr>
          <w:color w:val="1F4E79"/>
        </w:rPr>
        <w:t>Output &amp; reconciliation</w:t>
      </w:r>
    </w:p>
    <w:p>
      <w:r>
        <w:t>The Clean Dataset = completed purchases only, identifiable customers, product lines. Report a row-count RECONCILIATION (raw N -&gt; after each step -&gt; final M) so every dropped row is accounted for - cleaning decisions must be transparent, not silent.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