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Feature Engineering</w:t>
      </w:r>
    </w:p>
    <w:p>
      <w:r>
        <w:rPr>
          <w:i/>
          <w:color w:val="555555"/>
          <w:sz w:val="22"/>
        </w:rPr>
        <w:t>Design discussion #10 - collapse transactions to customer features, in three lanes</w:t>
      </w:r>
    </w:p>
    <w:p>
      <w:r>
        <w:rPr>
          <w:color w:val="555555"/>
          <w:sz w:val="18"/>
        </w:rPr>
        <w:t>Customer Segmentation Project  |  Planning Notes  |  17 June 2026</w:t>
      </w:r>
    </w:p>
    <w:p/>
    <w:p>
      <w:r>
        <w:t>Added 19 June 2026. Consolidates the feature-engineering design (drawing on docs 04, 09, 12, 15, 16) plus three sub-decisions locked here. Visualised in design/feature-engineering.md.</w:t>
      </w:r>
    </w:p>
    <w:p>
      <w:pPr>
        <w:pStyle w:val="Heading1"/>
      </w:pPr>
      <w:r>
        <w:rPr>
          <w:color w:val="1F4E79"/>
        </w:rPr>
        <w:t>Purpose</w:t>
      </w:r>
    </w:p>
    <w:p>
      <w:r>
        <w:t>Collapse the 8 transaction columns (1 row per invoice line, completed purchases) into ~5 engineered features per CUSTOMER (1 row per customer). Doc 04 principle: the columns are the problem; every feature must trace to a justified column. All time-based features are anchored to 2012-01-01 (doc 08). There is an intermediate INVOICE-level rollup (per invoice total = sum Quantity x Price) before the customer-level rollup.</w:t>
      </w:r>
    </w:p>
    <w:p>
      <w:pPr>
        <w:pStyle w:val="Heading1"/>
      </w:pPr>
      <w:r>
        <w:rPr>
          <w:color w:val="1F4E79"/>
        </w:rPr>
        <w:t>The three lanes (core vs supporting - doc 16)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Lane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Features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Destination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Core (clustering)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 / F / M / Tenure (+ AvgBasket profiling-only)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drives the CLUSTERING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CLV inputs (raw)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frequency / recency(t_x) / T / monetary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the CLV model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Supporting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wholesaler flag, return-rate, country, product mix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EDA / validation / profiling</w:t>
            </w:r>
          </w:p>
        </w:tc>
      </w:tr>
    </w:tbl>
    <w:p/>
    <w:p>
      <w:pPr>
        <w:pStyle w:val="Heading1"/>
      </w:pPr>
      <w:r>
        <w:rPr>
          <w:color w:val="1F4E79"/>
        </w:rPr>
        <w:t>Core features (clustering)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Computed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Transform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Recency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days from last purchase to anchor; lower = more recent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raw unless EDA skew says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Frequency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count of distinct purchase invoices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log1p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Monetary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sum Quantity x Price over completed lines (gross product spend; returns dropped, postage excluded)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log1p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Tenure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days from FIRST purchase to anchor (customer age) - Decision 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raw unless EDA skew says - Decision 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AvgBasket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Monetary / Frequency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log1p; PROFILING-ONLY (= M/F redundancy, doc 09)</w:t>
            </w:r>
          </w:p>
        </w:tc>
      </w:tr>
    </w:tbl>
    <w:p/>
    <w:p>
      <w:r>
        <w:t>Then RobustScaler (primary) / StandardScaler (experiment); cluster on R/F/M/Tenure (scaled); persist the fitted scaler.</w:t>
      </w:r>
    </w:p>
    <w:p>
      <w:pPr>
        <w:pStyle w:val="Heading1"/>
      </w:pPr>
      <w:r>
        <w:rPr>
          <w:color w:val="1F4E79"/>
        </w:rPr>
        <w:t>CLV inputs - the naming trap (doc 15) - RAW, not logged/scaled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Input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Definition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vs the core feature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frequency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invoices - 1 (first purchase = birth)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core Frequency = invoices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recency (t_x)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age at last purchase = first-&gt;last span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core Recency = days SINCE last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first -&gt; anchor (customer age)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now aligned with core Tenure (Decision 1)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monetary_value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average value per transaction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core Monetary = total</w:t>
            </w:r>
          </w:p>
        </w:tc>
      </w:tr>
    </w:tbl>
    <w:p/>
    <w:p>
      <w:r>
        <w:t>Built via lifetimes.summary_data_from_transaction_data.</w:t>
      </w:r>
    </w:p>
    <w:p>
      <w:pPr>
        <w:pStyle w:val="Heading1"/>
      </w:pPr>
      <w:r>
        <w:rPr>
          <w:color w:val="1F4E79"/>
        </w:rPr>
        <w:t>Supporting variables (doc 16) - never clustering inputs</w:t>
      </w:r>
    </w:p>
    <w:p>
      <w:pPr>
        <w:pStyle w:val="ListBullet"/>
      </w:pPr>
      <w:r>
        <w:t>Wholesaler flag: median units per invoice -&gt; flag the extreme tail; keep the continuous metric.</w:t>
      </w:r>
    </w:p>
    <w:p>
      <w:pPr>
        <w:pStyle w:val="ListBullet"/>
      </w:pPr>
      <w:r>
        <w:t>Return-rate: returns / purchases (from the return signal captured during cleaning).</w:t>
      </w:r>
    </w:p>
    <w:p>
      <w:pPr>
        <w:pStyle w:val="ListBullet"/>
      </w:pPr>
      <w:r>
        <w:t>Country (the customer's country); Product mix (top categories, diversity).</w:t>
      </w:r>
    </w:p>
    <w:p>
      <w:r>
        <w:t>These feed EDA, tier-2 validation, profiling, and recommendations - they EXPLAIN and VALIDATE the segments, never DEFINE them.</w:t>
      </w:r>
    </w:p>
    <w:p>
      <w:pPr>
        <w:pStyle w:val="Heading1"/>
      </w:pPr>
      <w:r>
        <w:rPr>
          <w:color w:val="1F4E79"/>
        </w:rPr>
        <w:t>Feature EDA checkpoint (post-aggregation)</w:t>
      </w:r>
    </w:p>
    <w:p>
      <w:r>
        <w:t>Where the transform decisions get JUSTIFIED, not assumed: verify SKEW (histograms, skewness; optionally Box-Cox lambda~0) -&gt; confirm log1p on F/M/AvgBasket and decide Recency/Tenure; check CORRELATIONS -&gt; confirm the AvgBasket = M/F redundancy and whether Tenure is redundant with Frequency; inspect the WHOLESALER tail -&gt; set the flag cutoff and decide the B2B/B2C fork. Also tests doc 05 hypothesis H3 (Frequency &amp; Monetary associated; Recency independent of spend).</w:t>
      </w:r>
    </w:p>
    <w:p>
      <w:pPr>
        <w:pStyle w:val="Heading1"/>
      </w:pPr>
      <w:r>
        <w:rPr>
          <w:color w:val="1F4E79"/>
        </w:rPr>
        <w:t>Locked sub-decisions (discussion #10)</w:t>
      </w:r>
    </w:p>
    <w:p>
      <w:pPr>
        <w:pStyle w:val="Heading2"/>
      </w:pPr>
      <w:r>
        <w:rPr>
          <w:color w:val="1F4E79"/>
        </w:rPr>
        <w:t>Decision 1 - Tenure = first-&gt;anchor (customer age)</w:t>
      </w:r>
    </w:p>
    <w:p>
      <w:pPr>
        <w:pStyle w:val="ListBullet"/>
      </w:pPr>
      <w:r>
        <w:t>Consistent with BG/NBD's T; handles single-purchase customers (a real age, not 0); more independent of Frequency (so it survives the redundancy check and adds real signal); paired with Recency it gives lifecycle position.</w:t>
      </w:r>
    </w:p>
    <w:p>
      <w:pPr>
        <w:pStyle w:val="ListBullet"/>
      </w:pPr>
      <w:r>
        <w:t>Business: distinguishes NEW vs ESTABLISHED, which changes the action even at equal R/F/M (an intense newcomer vs an occasional long-timer get different playbooks).</w:t>
      </w:r>
    </w:p>
    <w:p>
      <w:pPr>
        <w:pStyle w:val="ListBullet"/>
      </w:pPr>
      <w:r>
        <w:t>PATCHES doc 04, which previously defined Tenure as 'first-to-last span'.</w:t>
      </w:r>
    </w:p>
    <w:p>
      <w:pPr>
        <w:pStyle w:val="Heading2"/>
      </w:pPr>
      <w:r>
        <w:rPr>
          <w:color w:val="1F4E79"/>
        </w:rPr>
        <w:t>Decision 2 - Tenure transform decided by Feature EDA</w:t>
      </w:r>
    </w:p>
    <w:p>
      <w:pPr>
        <w:pStyle w:val="ListBullet"/>
      </w:pPr>
      <w:r>
        <w:t>Tenure is a BOUNDED time span (~0-730 days), not multiplicative/Pareto -&gt; unlikely to need a log (same boat as Recency). Per doc 09 ('do not blindly log every feature'), decide on evidence: transform only if the skew diagnostic warrants it. Prior expectation = no log.</w:t>
      </w:r>
    </w:p>
    <w:p>
      <w:pPr>
        <w:pStyle w:val="Heading2"/>
      </w:pPr>
      <w:r>
        <w:rPr>
          <w:color w:val="1F4E79"/>
        </w:rPr>
        <w:t>Decision 3 - Single-purchase customers: keep, as a distinct group</w:t>
      </w:r>
    </w:p>
    <w:p>
      <w:pPr>
        <w:pStyle w:val="ListBullet"/>
      </w:pPr>
      <w:r>
        <w:t>~30-40% of customers and a core CRM question (convert one-timers) -&gt; do NOT drop them.</w:t>
      </w:r>
    </w:p>
    <w:p>
      <w:pPr>
        <w:pStyle w:val="ListBullet"/>
      </w:pPr>
      <w:r>
        <w:t>Technical degeneracy: for a one-timer first = last, so Recency = Tenure and AvgBasket = Monetary - they collapse onto a line in feature space. (first-&gt;anchor degrades gracefully: Tenure = Recency still varies; first-&gt;last would give Tenure = 0 for all of them - reconfirms Decision 1.)</w:t>
      </w:r>
    </w:p>
    <w:p>
      <w:pPr>
        <w:pStyle w:val="ListBullet"/>
      </w:pPr>
      <w:r>
        <w:t>Clustering: keep them in, but Feature EDA decides the structure - (i) cluster everyone and let a one-timer segment emerge, or (ii) split one-timers off and cluster the richer repeat-buyer space (lean ii).</w:t>
      </w:r>
    </w:p>
    <w:p>
      <w:pPr>
        <w:pStyle w:val="ListBullet"/>
      </w:pPr>
      <w:r>
        <w:t>CLV: BG/NBD includes them (frequency = 0); Gamma-Gamma excludes them (needs frequency &gt; 0) -&gt; their per-transaction value falls back to the population mean. Always report the single-purchase share (a CLV-reliability caveat, doc 15).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