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The Dataset</w:t>
      </w:r>
    </w:p>
    <w:p>
      <w:r>
        <w:rPr>
          <w:i/>
          <w:color w:val="555555"/>
          <w:sz w:val="22"/>
        </w:rPr>
        <w:t>UCI 'Online Retail II' - verified facts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pPr>
        <w:pStyle w:val="Heading1"/>
      </w:pPr>
      <w:r>
        <w:rPr>
          <w:color w:val="1F4E79"/>
        </w:rPr>
        <w:t>What it is</w:t>
      </w:r>
    </w:p>
    <w:p>
      <w:r>
        <w:t>Real transaction records from an actual UK-based online retailer selling unique all-occasion giftware. Notably, many customers are wholesalers, which is why some buy in very large quantities. One of the most-used real datasets in retail analytics. Source: UCI Machine Learning Repository.</w:t>
      </w:r>
    </w:p>
    <w:p>
      <w:pPr>
        <w:pStyle w:val="Heading1"/>
      </w:pPr>
      <w:r>
        <w:rPr>
          <w:color w:val="1F4E79"/>
        </w:rPr>
        <w:t>Verified facts (checked on the downloaded file)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~/customer-segmentation/data/raw/online_retail_II.xlsx (45 MB)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Sheets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Year 2009-2010 (525,461 rows) + Year 2010-2011 (541,910 rows)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Total rows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1,067,371 (one row per product line per invoice)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Columns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Date span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01 Dec 2009 -&gt; 09 Dec 2011 (~2 years)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Unique customers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5,942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Countries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43 (heavily UK: 981,330 of 1,067,371 rows)</w:t>
            </w:r>
          </w:p>
        </w:tc>
      </w:tr>
    </w:tbl>
    <w:p/>
    <w:p>
      <w:pPr>
        <w:pStyle w:val="Heading1"/>
      </w:pPr>
      <w:r>
        <w:rPr>
          <w:color w:val="1F4E79"/>
        </w:rPr>
        <w:t>The columns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Used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Invoice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6-digit invoice no; 'C' prefix = cancellation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Frequency; filter cancellations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StockCode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Product 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Product-level analysis (optional)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Product name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Context / sanity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Quantity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Units per line; can be negative (returns)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Monetary; clean negatives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InvoiceDate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Date + time of transaction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Recency &amp; time trends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Price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Price per unit, GBP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Monetary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Customer 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5-digit customer no; many missing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unit of analysis (key)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Country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Customer's country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Geographic segmentation</w:t>
            </w:r>
          </w:p>
        </w:tc>
      </w:tr>
    </w:tbl>
    <w:p/>
    <w:p>
      <w:pPr>
        <w:pStyle w:val="Heading1"/>
      </w:pPr>
      <w:r>
        <w:rPr>
          <w:color w:val="1F4E79"/>
        </w:rPr>
        <w:t>Data-quality quirks (the cleaning to-do 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Quirk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Missing Customer 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243,007 (22.8%)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Can't tie to a customer - dropped for segmentation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Cancellations (Invoice 'C')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19,494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Not positive purchase behaviour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Negative-quantity rows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22,950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Returns - clean or net out</w:t>
            </w:r>
          </w:p>
        </w:tc>
      </w:tr>
    </w:tbl>
    <w:p/>
    <w:p>
      <w:r>
        <w:t>These are not bugs - they are realistic messiness that gives genuine, explainable cleaning decisions in Notebook 01.</w:t>
      </w:r>
    </w:p>
    <w:p>
      <w:pPr>
        <w:pStyle w:val="Heading1"/>
      </w:pPr>
      <w:r>
        <w:rPr>
          <w:color w:val="1F4E79"/>
        </w:rPr>
        <w:t>Naming note</w:t>
      </w:r>
    </w:p>
    <w:p>
      <w:r>
        <w:t>'Online Retail' (original) is a single year (~541k rows). 'Online Retail II' is the extended two-year version (~1M rows) - the one we use, because more history = better CLV predictions.</w:t>
      </w:r>
    </w:p>
    <w:p>
      <w:pPr>
        <w:pStyle w:val="Heading1"/>
      </w:pPr>
      <w:r>
        <w:rPr>
          <w:color w:val="1F4E79"/>
        </w:rPr>
        <w:t>Important difference vs the synthetic dataset</w:t>
      </w:r>
    </w:p>
    <w:p>
      <w:r>
        <w:t>The synthetic file had marketing-engagement columns (email_open_rate, click_through_rate, ad_interactions). This real dataset has none of those - it is pure transaction data. We therefore lose engagement features but gain real transaction granularity, letting us build RFM ourselves and run a proper probabilistic CLV model. Clustering features become RFM + tenure + average basket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