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Feature Treatment</w:t>
      </w:r>
    </w:p>
    <w:p>
      <w:r>
        <w:rPr>
          <w:i/>
          <w:color w:val="555555"/>
          <w:sz w:val="22"/>
        </w:rPr>
        <w:t>Design discussion #3 - skew, scaling, and feature weighting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2026. How the customer-level features are transformed before clustering. Three linked issues: distributional skew, scaling, and weighting/redundancy. Standing rule: every experiment below must be observable (compare variants, never run blind).</w:t>
      </w:r>
    </w:p>
    <w:p>
      <w:pPr>
        <w:pStyle w:val="Heading1"/>
      </w:pPr>
      <w:r>
        <w:rPr>
          <w:color w:val="1F4E79"/>
        </w:rPr>
        <w:t>Issue 1 - Skew (the log transform)</w:t>
      </w:r>
    </w:p>
    <w:p>
      <w:r>
        <w:t>RFM features are strongly right-skewed (Pareto-like): most customers buy a little, a few wholesalers buy enormously. Monetary can span ~5 orders of magnitude (~GBP 3 to ~GBP 280,000).</w:t>
      </w:r>
    </w:p>
    <w:p>
      <w:pPr>
        <w:pStyle w:val="Heading2"/>
      </w:pPr>
      <w:r>
        <w:rPr>
          <w:color w:val="1F4E79"/>
        </w:rPr>
        <w:t>Why it breaks K-Means</w:t>
      </w:r>
    </w:p>
    <w:p>
      <w:pPr>
        <w:pStyle w:val="ListBullet"/>
      </w:pPr>
      <w:r>
        <w:t>Euclidean distance sums squared differences; a feature with huge spread dominates the distance (raw Monetary swamps Recency) - clustering silently collapses to 'sort by spend'.</w:t>
      </w:r>
    </w:p>
    <w:p>
      <w:pPr>
        <w:pStyle w:val="ListBullet"/>
      </w:pPr>
      <w:r>
        <w:t>Even after scaling, a few whales sit so far out that K-Means wastes whole clusters isolating them: {whale1},{whale2},{everyone else}. Scaling alone does NOT fix this - you must reshape the distribution. That is the log's job.</w:t>
      </w:r>
    </w:p>
    <w:p>
      <w:pPr>
        <w:pStyle w:val="Heading2"/>
      </w:pPr>
      <w:r>
        <w:rPr>
          <w:color w:val="1F4E79"/>
        </w:rPr>
        <w:t>What log does, and why log1p</w:t>
      </w:r>
    </w:p>
    <w:p>
      <w:pPr>
        <w:pStyle w:val="ListBullet"/>
      </w:pPr>
      <w:r>
        <w:t>Log compresses the tail and turns multiplicative/ratio structure into additive: each 10x jump in spend becomes the same fixed step. Distance then means 'how many times bigger', not 'how many pounds bigger' - the right notion of customer similarity.</w:t>
      </w:r>
    </w:p>
    <w:p>
      <w:pPr>
        <w:pStyle w:val="ListBullet"/>
      </w:pPr>
      <w:r>
        <w:t>Use log1p = log(1+x): defined at 0 (some netted Monetary or Recency=0 on the anchor day), stable for small values, ~identical to log for large.</w:t>
      </w:r>
    </w:p>
    <w:p>
      <w:pPr>
        <w:pStyle w:val="Heading2"/>
      </w:pPr>
      <w:r>
        <w:rPr>
          <w:color w:val="1F4E79"/>
        </w:rPr>
        <w:t>Decision &amp; verification</w:t>
      </w:r>
    </w:p>
    <w:p>
      <w:pPr>
        <w:pStyle w:val="ListBullet"/>
      </w:pPr>
      <w:r>
        <w:t>Apply log1p to Frequency, Monetary, AvgBasket. Leave Recency raw unless its skewness says otherwise (it is usually mild / sometimes bimodal) - do not auto-log every feature.</w:t>
      </w:r>
    </w:p>
    <w:p>
      <w:pPr>
        <w:pStyle w:val="ListBullet"/>
      </w:pPr>
      <w:r>
        <w:t>Verify, do not assert: histograms before/after, Fisher skewness pre/post (target near 0), Q-Q plot. Optional rigor: run Box-Cox and report the optimal lambda lands near 0, empirically justifying log.</w:t>
      </w:r>
    </w:p>
    <w:p>
      <w:pPr>
        <w:pStyle w:val="Heading1"/>
      </w:pPr>
      <w:r>
        <w:rPr>
          <w:color w:val="1F4E79"/>
        </w:rPr>
        <w:t>Issue 2 - Scaling</w:t>
      </w:r>
    </w:p>
    <w:p>
      <w:r>
        <w:t>Log fixes each feature's SHAPE; features still live on different ranges (Recency in hundreds of days vs log features in single digits to ~12), so distance would now be dominated by Recency. Scaling makes features contribute comparably. Order matters: LOG first (reshape), THEN scale (re-range) - scaling is affine and cannot fix skew.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Scaler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Center / Spread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Outlier-sensitive?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StandardScaler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mean / std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 (mean &amp; std pulled by extremes)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Run as experiment / robustness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RobustScaler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median / IQR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 (middle 50% only)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CHOSEN primary - data is part-wholesale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MinMaxScaler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min / max-min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Rejected - one whale squashes everyone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Normalizer (L2)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per-row norm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n/a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Rejected - rescales customers, destroys magnitude</w:t>
            </w:r>
          </w:p>
        </w:tc>
      </w:tr>
    </w:tbl>
    <w:p/>
    <w:p>
      <w:pPr>
        <w:pStyle w:val="ListBullet"/>
      </w:pPr>
      <w:r>
        <w:t>Decision: log1p -&gt; RobustScaler as primary; ALSO run StandardScaler and compare whether segments / validation metrics are stable across the two (a reportable robustness result).</w:t>
      </w:r>
    </w:p>
    <w:p>
      <w:pPr>
        <w:pStyle w:val="ListBullet"/>
      </w:pPr>
      <w:r>
        <w:t>Standardising to equal spread is an IMPLICIT decision that all features are equally important - name it explicitly. (See Issue 3.)</w:t>
      </w:r>
    </w:p>
    <w:p>
      <w:pPr>
        <w:pStyle w:val="ListBullet"/>
      </w:pPr>
      <w:r>
        <w:t>Hygiene: fit the scaler once on the full feature table and persist it (joblib); same scaled matrix feeds K-Means and the PCA viz. This scaler is for clustering only - the CLV holdout uses raw counts/dates via lifetimes, a separate pipeline.</w:t>
      </w:r>
    </w:p>
    <w:p>
      <w:pPr>
        <w:pStyle w:val="Heading1"/>
      </w:pPr>
      <w:r>
        <w:rPr>
          <w:color w:val="1F4E79"/>
        </w:rPr>
        <w:t>Issue 3 - Weighting &amp; redundancy (do NOT just default to equal)</w:t>
      </w:r>
    </w:p>
    <w:p>
      <w:r>
        <w:t>'Equal weight per column' only equals 'fair' if columns are independent constructs. Ours are not.</w:t>
      </w:r>
    </w:p>
    <w:p>
      <w:pPr>
        <w:pStyle w:val="Heading2"/>
      </w:pPr>
      <w:r>
        <w:rPr>
          <w:color w:val="1F4E79"/>
        </w:rPr>
        <w:t>Two redundancy problems</w:t>
      </w:r>
    </w:p>
    <w:p>
      <w:pPr>
        <w:pStyle w:val="ListBullet"/>
      </w:pPr>
      <w:r>
        <w:t>AvgBasket is a DETERMINISTIC function of the others: AvgBasket = Monetary / Frequency, so in log space log AvgBasket = log Monetary - log Frequency (exact linear combination = perfect multicollinearity). Feeding all three adds zero new information and lets the 'spend' direction count extra.</w:t>
      </w:r>
    </w:p>
    <w:p>
      <w:pPr>
        <w:pStyle w:val="ListBullet"/>
      </w:pPr>
      <w:r>
        <w:t>Even otherwise, F, M and Tenure are correlated - much of their variance is one underlying 'how much of a customer are you' axis. Equal-per-column then TRIPLE-COUNTS that axis and drowns out Recency, which under framing A is the most decision-relevant feature (churn signal).</w:t>
      </w:r>
    </w:p>
    <w:p>
      <w:pPr>
        <w:pStyle w:val="Heading2"/>
      </w:pPr>
      <w:r>
        <w:rPr>
          <w:color w:val="1F4E79"/>
        </w:rPr>
        <w:t>The three philosophies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Option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Trade-off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A. Fix redundancy, then equal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Drop deterministic/near-duplicate features, then weight equally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Interpretable baseline; CHOSEN starting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B. Business weighting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Up-weight Recency &amp; Monetary (the decision drivers)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Defensible but subjective - 'how did you pick weights?'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C. De-correlate (PCA-whiten / Mahalanobis)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Let covariance handle correlated features automatically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Principled, but components are harder to interpret in RFM terms</w:t>
            </w:r>
          </w:p>
        </w:tc>
      </w:tr>
    </w:tbl>
    <w:p/>
    <w:p>
      <w:pPr>
        <w:pStyle w:val="Heading2"/>
      </w:pPr>
      <w:r>
        <w:rPr>
          <w:color w:val="1F4E79"/>
        </w:rPr>
        <w:t>Decided path</w:t>
      </w:r>
    </w:p>
    <w:p>
      <w:pPr>
        <w:pStyle w:val="ListNumber"/>
      </w:pPr>
      <w:r>
        <w:t>Diagnose first: compute and SHOW the correlation matrix of the (log) features - let data reveal redundancy, do not just assert it. (Observability artifact.)</w:t>
      </w:r>
    </w:p>
    <w:p>
      <w:pPr>
        <w:pStyle w:val="ListNumber"/>
      </w:pPr>
      <w:r>
        <w:t>Remove the deterministic redundancy (AvgBasket = M/F) - a correctness fix, not a preference. Plan: make AvgBasket profiling-only; cluster on Recency / Frequency / Monetary / Tenure (re-check whether Tenure is largely redundant with Frequency and drop if so).</w:t>
      </w:r>
    </w:p>
    <w:p>
      <w:pPr>
        <w:pStyle w:val="ListNumber"/>
      </w:pPr>
      <w:r>
        <w:t>Default to equal weighting on the cleaned, non-redundant set as the interpretable baseline.</w:t>
      </w:r>
    </w:p>
    <w:p>
      <w:pPr>
        <w:pStyle w:val="ListNumber"/>
      </w:pPr>
      <w:r>
        <w:t>Run as tracked experiments: (i) business-weighted (R &amp; M up), (ii) PCA-whitened / Mahalanobis; compare segments + validation metrics across all three. Equal weighting is EARNED by showing redundancy is handled and weighting choice does not secretly drive the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