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9zyslxrgvyd" w:id="0"/>
      <w:bookmarkEnd w:id="0"/>
      <w:r w:rsidDel="00000000" w:rsidR="00000000" w:rsidRPr="00000000">
        <w:rPr>
          <w:rtl w:val="0"/>
        </w:rPr>
        <w:t xml:space="preserve">Quantum Gravity Survey Report</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jgtmzfyj4uek" w:id="1"/>
      <w:bookmarkEnd w:id="1"/>
      <w:r w:rsidDel="00000000" w:rsidR="00000000" w:rsidRPr="00000000">
        <w:rPr>
          <w:rtl w:val="0"/>
        </w:rPr>
        <w:t xml:space="preserve">Cuddapan Survey</w:t>
      </w:r>
    </w:p>
    <w:p w:rsidR="00000000" w:rsidDel="00000000" w:rsidP="00000000" w:rsidRDefault="00000000" w:rsidRPr="00000000" w14:paraId="0000000A">
      <w:pPr>
        <w:pStyle w:val="Title"/>
        <w:jc w:val="center"/>
        <w:rPr/>
      </w:pPr>
      <w:bookmarkStart w:colFirst="0" w:colLast="0" w:name="_8wqvupwkgdd8" w:id="2"/>
      <w:bookmarkEnd w:id="2"/>
      <w:r w:rsidDel="00000000" w:rsidR="00000000" w:rsidRPr="00000000">
        <w:rPr>
          <w:rtl w:val="0"/>
        </w:rPr>
        <w:t xml:space="preserve">South Western Queensland</w:t>
      </w:r>
    </w:p>
    <w:p w:rsidR="00000000" w:rsidDel="00000000" w:rsidP="00000000" w:rsidRDefault="00000000" w:rsidRPr="00000000" w14:paraId="0000000B">
      <w:pPr>
        <w:pStyle w:val="Title"/>
        <w:jc w:val="center"/>
        <w:rPr/>
      </w:pPr>
      <w:bookmarkStart w:colFirst="0" w:colLast="0" w:name="_gcrmu1u5z8gt" w:id="3"/>
      <w:bookmarkEnd w:id="3"/>
      <w:r w:rsidDel="00000000" w:rsidR="00000000" w:rsidRPr="00000000">
        <w:rPr>
          <w:rtl w:val="0"/>
        </w:rPr>
        <w:t xml:space="preserve">2023</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2743200" cy="1675462"/>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3200" cy="16754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pStyle w:val="Subtitle"/>
        <w:jc w:val="center"/>
        <w:rPr/>
      </w:pPr>
      <w:bookmarkStart w:colFirst="0" w:colLast="0" w:name="_fnizp2h4tfl1" w:id="4"/>
      <w:bookmarkEnd w:id="4"/>
      <w:r w:rsidDel="00000000" w:rsidR="00000000" w:rsidRPr="00000000">
        <w:rPr>
          <w:rtl w:val="0"/>
        </w:rPr>
        <w:t xml:space="preserve">Atomionics Pte Ltd</w:t>
        <w:br w:type="textWrapping"/>
        <w:t xml:space="preserve">#01-05, Corporation Place</w:t>
        <w:br w:type="textWrapping"/>
        <w:t xml:space="preserve">2 Corporation Road</w:t>
        <w:br w:type="textWrapping"/>
        <w:t xml:space="preserve">Singapore 618494</w:t>
      </w:r>
      <w:r w:rsidDel="00000000" w:rsidR="00000000" w:rsidRPr="00000000">
        <w:br w:type="page"/>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mtvxt4iim4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h3kd4f2v8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mfqrjffzkl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uourxvp25x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Study Area</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84g21mgt8q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Geological Context</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nrqjw0gu3i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Methodology</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igrdpywxlj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Survey Design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irhu3x17rx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Survey Parameters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b6qfq3r22b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Instrumentation</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zf8cfadlc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Data Acquisition</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4h8kzrp1fb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Operational Procedure</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a04zocwqjc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Post Corrections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kip31fszej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Calibration</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yocznvkbsq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Accuracy</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oeuckx73vf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Precision</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cr8vlfnuit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Data Processing</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t7z8o3910q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Theoretical (Latitude)</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dxfmuyurck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Atmospheric Effect</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xs9fy7rwk0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Free-Air</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166jqcc6j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Tidal</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jekzxonkwe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Bullard A (Bouguer Slab)</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3milt85l34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Bullard B (Spherical Cap)</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kplr3kwh6z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Terrain Correction</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elif42dzz4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Results and Interpretation</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volyjafz3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Free-Air Anomaly</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2"/>
        </w:numPr>
        <w:ind w:left="720" w:hanging="360"/>
        <w:jc w:val="both"/>
        <w:rPr>
          <w:u w:val="none"/>
        </w:rPr>
      </w:pPr>
      <w:bookmarkStart w:colFirst="0" w:colLast="0" w:name="_gmtvxt4iim4i" w:id="5"/>
      <w:bookmarkEnd w:id="5"/>
      <w:r w:rsidDel="00000000" w:rsidR="00000000" w:rsidRPr="00000000">
        <w:rPr>
          <w:rtl w:val="0"/>
        </w:rPr>
        <w:t xml:space="preserve">Introduction</w:t>
      </w:r>
    </w:p>
    <w:p w:rsidR="00000000" w:rsidDel="00000000" w:rsidP="00000000" w:rsidRDefault="00000000" w:rsidRPr="00000000" w14:paraId="00000036">
      <w:pPr>
        <w:jc w:val="both"/>
        <w:rPr/>
      </w:pPr>
      <w:r w:rsidDel="00000000" w:rsidR="00000000" w:rsidRPr="00000000">
        <w:rPr>
          <w:rtl w:val="0"/>
        </w:rPr>
        <w:t xml:space="preserve">Bridgeport Energy Limited commissioned a quantum gravity survey conducted by Atomionics Pte. Ltd. The survey was completed in two phases - May 31 to June 18, 2023 and August 18 to August 27, 2023 over an area of around 200 km</w:t>
      </w:r>
      <w:r w:rsidDel="00000000" w:rsidR="00000000" w:rsidRPr="00000000">
        <w:rPr>
          <w:vertAlign w:val="superscript"/>
          <w:rtl w:val="0"/>
        </w:rPr>
        <w:t xml:space="preserve">2</w:t>
      </w:r>
      <w:r w:rsidDel="00000000" w:rsidR="00000000" w:rsidRPr="00000000">
        <w:rPr>
          <w:rtl w:val="0"/>
        </w:rPr>
        <w:t xml:space="preserve">. This marked the first commercial deployment of a quantum gravimeter at this scale. </w:t>
      </w:r>
    </w:p>
    <w:p w:rsidR="00000000" w:rsidDel="00000000" w:rsidP="00000000" w:rsidRDefault="00000000" w:rsidRPr="00000000" w14:paraId="00000037">
      <w:pPr>
        <w:pStyle w:val="Heading2"/>
        <w:ind w:left="0" w:firstLine="0"/>
        <w:jc w:val="both"/>
        <w:rPr/>
      </w:pPr>
      <w:bookmarkStart w:colFirst="0" w:colLast="0" w:name="_heh3kd4f2v8v" w:id="6"/>
      <w:bookmarkEnd w:id="6"/>
      <w:r w:rsidDel="00000000" w:rsidR="00000000" w:rsidRPr="00000000">
        <w:rPr>
          <w:rtl w:val="0"/>
        </w:rPr>
        <w:t xml:space="preserve">Purpose</w:t>
      </w:r>
    </w:p>
    <w:p w:rsidR="00000000" w:rsidDel="00000000" w:rsidP="00000000" w:rsidRDefault="00000000" w:rsidRPr="00000000" w14:paraId="00000038">
      <w:pPr>
        <w:jc w:val="both"/>
        <w:rPr/>
      </w:pPr>
      <w:r w:rsidDel="00000000" w:rsidR="00000000" w:rsidRPr="00000000">
        <w:rPr>
          <w:rtl w:val="0"/>
        </w:rPr>
        <w:t xml:space="preserve">The purpose of the survey was to utilize quantum technology to positively confirm the inland field structure and establish support for the indication of a similar structure in the area to the southwest of the inland field for followup targeted seismic surveys and drills. </w:t>
      </w:r>
    </w:p>
    <w:p w:rsidR="00000000" w:rsidDel="00000000" w:rsidP="00000000" w:rsidRDefault="00000000" w:rsidRPr="00000000" w14:paraId="00000039">
      <w:pPr>
        <w:pStyle w:val="Heading2"/>
        <w:jc w:val="both"/>
        <w:rPr/>
      </w:pPr>
      <w:bookmarkStart w:colFirst="0" w:colLast="0" w:name="_dmfqrjffzkla" w:id="7"/>
      <w:bookmarkEnd w:id="7"/>
      <w:r w:rsidDel="00000000" w:rsidR="00000000" w:rsidRPr="00000000">
        <w:rPr>
          <w:rtl w:val="0"/>
        </w:rPr>
        <w:t xml:space="preserve">Objectives</w:t>
      </w:r>
    </w:p>
    <w:p w:rsidR="00000000" w:rsidDel="00000000" w:rsidP="00000000" w:rsidRDefault="00000000" w:rsidRPr="00000000" w14:paraId="0000003A">
      <w:pPr>
        <w:numPr>
          <w:ilvl w:val="0"/>
          <w:numId w:val="1"/>
        </w:numPr>
        <w:ind w:left="720" w:hanging="360"/>
        <w:jc w:val="both"/>
        <w:rPr>
          <w:u w:val="none"/>
        </w:rPr>
      </w:pPr>
      <w:r w:rsidDel="00000000" w:rsidR="00000000" w:rsidRPr="00000000">
        <w:rPr>
          <w:rtl w:val="0"/>
        </w:rPr>
        <w:t xml:space="preserve">Image the upthrown faulted basement feature, which forms the basis for the structural trap at the Inland Oil Field. </w:t>
      </w:r>
    </w:p>
    <w:p w:rsidR="00000000" w:rsidDel="00000000" w:rsidP="00000000" w:rsidRDefault="00000000" w:rsidRPr="00000000" w14:paraId="0000003B">
      <w:pPr>
        <w:numPr>
          <w:ilvl w:val="0"/>
          <w:numId w:val="1"/>
        </w:numPr>
        <w:ind w:left="720" w:hanging="360"/>
        <w:jc w:val="both"/>
        <w:rPr>
          <w:u w:val="none"/>
        </w:rPr>
      </w:pPr>
      <w:r w:rsidDel="00000000" w:rsidR="00000000" w:rsidRPr="00000000">
        <w:rPr>
          <w:rtl w:val="0"/>
        </w:rPr>
        <w:t xml:space="preserve">Identify if a similar feature exists to the southwest of the inland field in an area devoid of seismic coverage. </w:t>
      </w:r>
    </w:p>
    <w:p w:rsidR="00000000" w:rsidDel="00000000" w:rsidP="00000000" w:rsidRDefault="00000000" w:rsidRPr="00000000" w14:paraId="0000003C">
      <w:pPr>
        <w:pStyle w:val="Heading2"/>
        <w:jc w:val="both"/>
        <w:rPr/>
      </w:pPr>
      <w:bookmarkStart w:colFirst="0" w:colLast="0" w:name="_ruourxvp25xl" w:id="8"/>
      <w:bookmarkEnd w:id="8"/>
      <w:r w:rsidDel="00000000" w:rsidR="00000000" w:rsidRPr="00000000">
        <w:rPr>
          <w:rtl w:val="0"/>
        </w:rPr>
        <w:t xml:space="preserve">Study Area</w:t>
      </w:r>
    </w:p>
    <w:p w:rsidR="00000000" w:rsidDel="00000000" w:rsidP="00000000" w:rsidRDefault="00000000" w:rsidRPr="00000000" w14:paraId="0000003D">
      <w:pPr>
        <w:jc w:val="both"/>
        <w:rPr/>
      </w:pPr>
      <w:r w:rsidDel="00000000" w:rsidR="00000000" w:rsidRPr="00000000">
        <w:rPr>
          <w:rtl w:val="0"/>
        </w:rPr>
        <w:t xml:space="preserve">The survey site is located within the Cooper-Eromanga Basin in South-Western Queensland and can be reached after a 380 km drive from Longreach, which houses the nearest airport, via the Birdsville Development Road. Fig. 1 shows the project location with respect to nearby towns.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Bridgeport proposed a gravity survey to capture comprehensive data in the Inland Oil Field and extend coverage to the exploration region through a strategically spaced yet thorough grid. Fig. 2 shows this proposal, which spanned an area of approximately 200 km</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Heading2"/>
        <w:jc w:val="both"/>
        <w:rPr/>
      </w:pPr>
      <w:bookmarkStart w:colFirst="0" w:colLast="0" w:name="_j84g21mgt8qz" w:id="9"/>
      <w:bookmarkEnd w:id="9"/>
      <w:r w:rsidDel="00000000" w:rsidR="00000000" w:rsidRPr="00000000">
        <w:rPr>
          <w:rtl w:val="0"/>
        </w:rPr>
        <w:t xml:space="preserve">Geological Context</w:t>
      </w:r>
    </w:p>
    <w:p w:rsidR="00000000" w:rsidDel="00000000" w:rsidP="00000000" w:rsidRDefault="00000000" w:rsidRPr="00000000" w14:paraId="00000042">
      <w:pPr>
        <w:jc w:val="both"/>
        <w:rPr/>
      </w:pPr>
      <w:r w:rsidDel="00000000" w:rsidR="00000000" w:rsidRPr="00000000">
        <w:rPr>
          <w:rtl w:val="0"/>
        </w:rPr>
        <w:t xml:space="preserve">The predominant reservoir yielding oil in the Inland Oil Field is the Hutton Sandstone, supplemented by minor contributions from the sandstone found in the Basal Birkhead Formation.</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pStyle w:val="Heading1"/>
        <w:numPr>
          <w:ilvl w:val="0"/>
          <w:numId w:val="2"/>
        </w:numPr>
        <w:ind w:left="720" w:hanging="360"/>
        <w:jc w:val="both"/>
        <w:rPr>
          <w:u w:val="none"/>
        </w:rPr>
      </w:pPr>
      <w:bookmarkStart w:colFirst="0" w:colLast="0" w:name="_nrqjw0gu3idp" w:id="10"/>
      <w:bookmarkEnd w:id="10"/>
      <w:r w:rsidDel="00000000" w:rsidR="00000000" w:rsidRPr="00000000">
        <w:rPr>
          <w:rtl w:val="0"/>
        </w:rPr>
        <w:t xml:space="preserve">Methodology</w:t>
      </w:r>
    </w:p>
    <w:p w:rsidR="00000000" w:rsidDel="00000000" w:rsidP="00000000" w:rsidRDefault="00000000" w:rsidRPr="00000000" w14:paraId="00000045">
      <w:pPr>
        <w:pStyle w:val="Heading2"/>
        <w:jc w:val="both"/>
        <w:rPr/>
      </w:pPr>
      <w:bookmarkStart w:colFirst="0" w:colLast="0" w:name="_gigrdpywxljz" w:id="11"/>
      <w:bookmarkEnd w:id="11"/>
      <w:r w:rsidDel="00000000" w:rsidR="00000000" w:rsidRPr="00000000">
        <w:rPr>
          <w:rtl w:val="0"/>
        </w:rPr>
        <w:t xml:space="preserve">Survey Design</w:t>
      </w:r>
    </w:p>
    <w:p w:rsidR="00000000" w:rsidDel="00000000" w:rsidP="00000000" w:rsidRDefault="00000000" w:rsidRPr="00000000" w14:paraId="00000046">
      <w:pPr>
        <w:jc w:val="both"/>
        <w:rPr/>
      </w:pPr>
      <w:r w:rsidDel="00000000" w:rsidR="00000000" w:rsidRPr="00000000">
        <w:rPr>
          <w:rtl w:val="0"/>
        </w:rPr>
        <w:t xml:space="preserve">Fig. 3 shows the survey grid outline in MGA Zone 54 projected CRS, which was designed to achieve a concentrated measurement density around the Inland Oil Field, while extending insights to the exploration region. There were a total of 624 data points captured, 119 of which were repeat measurements detailed in the </w:t>
      </w:r>
      <w:hyperlink w:anchor="_toeuckx73vf1">
        <w:r w:rsidDel="00000000" w:rsidR="00000000" w:rsidRPr="00000000">
          <w:rPr>
            <w:color w:val="1155cc"/>
            <w:u w:val="single"/>
            <w:rtl w:val="0"/>
          </w:rPr>
          <w:t xml:space="preserve">Precision</w:t>
        </w:r>
      </w:hyperlink>
      <w:r w:rsidDel="00000000" w:rsidR="00000000" w:rsidRPr="00000000">
        <w:rPr>
          <w:rtl w:val="0"/>
        </w:rPr>
        <w:t xml:space="preserve"> section</w:t>
      </w:r>
      <w:r w:rsidDel="00000000" w:rsidR="00000000" w:rsidRPr="00000000">
        <w:rPr>
          <w:rtl w:val="0"/>
        </w:rPr>
        <w:t xml:space="preserve">. </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drawing>
          <wp:inline distB="114300" distT="114300" distL="114300" distR="114300">
            <wp:extent cx="5943600" cy="45720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i w:val="1"/>
        </w:rPr>
      </w:pPr>
      <w:r w:rsidDel="00000000" w:rsidR="00000000" w:rsidRPr="00000000">
        <w:rPr>
          <w:i w:val="1"/>
          <w:rtl w:val="0"/>
        </w:rPr>
        <w:t xml:space="preserve">Figure 1: Cuddapan Survey Grid Outline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7irhu3x17rxr" w:id="12"/>
      <w:bookmarkEnd w:id="12"/>
      <w:r w:rsidDel="00000000" w:rsidR="00000000" w:rsidRPr="00000000">
        <w:rPr>
          <w:rtl w:val="0"/>
        </w:rPr>
        <w:t xml:space="preserve">Survey Parameters</w:t>
      </w:r>
    </w:p>
    <w:p w:rsidR="00000000" w:rsidDel="00000000" w:rsidP="00000000" w:rsidRDefault="00000000" w:rsidRPr="00000000" w14:paraId="0000004C">
      <w:pPr>
        <w:jc w:val="both"/>
        <w:rPr/>
      </w:pPr>
      <w:r w:rsidDel="00000000" w:rsidR="00000000" w:rsidRPr="00000000">
        <w:rPr>
          <w:rtl w:val="0"/>
        </w:rPr>
        <w:t xml:space="preserve">The survey grid comprised a network of 15 lines spaced at around 1.2 km intervals. The length varied from 4 km to 11 km and station spacing typically ranged from 100 m to 300 m, determined by factors such as accessibility and terrain. </w:t>
      </w:r>
    </w:p>
    <w:p w:rsidR="00000000" w:rsidDel="00000000" w:rsidP="00000000" w:rsidRDefault="00000000" w:rsidRPr="00000000" w14:paraId="0000004D">
      <w:pPr>
        <w:pStyle w:val="Heading2"/>
        <w:jc w:val="both"/>
        <w:rPr/>
      </w:pPr>
      <w:bookmarkStart w:colFirst="0" w:colLast="0" w:name="_mb6qfq3r22br" w:id="13"/>
      <w:bookmarkEnd w:id="13"/>
      <w:r w:rsidDel="00000000" w:rsidR="00000000" w:rsidRPr="00000000">
        <w:rPr>
          <w:rtl w:val="0"/>
        </w:rPr>
        <w:t xml:space="preserve">Instrumentation</w:t>
      </w:r>
    </w:p>
    <w:p w:rsidR="00000000" w:rsidDel="00000000" w:rsidP="00000000" w:rsidRDefault="00000000" w:rsidRPr="00000000" w14:paraId="0000004E">
      <w:pPr>
        <w:jc w:val="both"/>
        <w:rPr/>
      </w:pPr>
      <w:r w:rsidDel="00000000" w:rsidR="00000000" w:rsidRPr="00000000">
        <w:rPr>
          <w:rtl w:val="0"/>
        </w:rPr>
        <w:t xml:space="preserve">The gravity survey was performed using an absolute quantum gravimeter [1] (referred to as Gravio</w:t>
      </w:r>
      <w:r w:rsidDel="00000000" w:rsidR="00000000" w:rsidRPr="00000000">
        <w:rPr>
          <w:vertAlign w:val="superscript"/>
          <w:rtl w:val="0"/>
        </w:rPr>
        <w:t xml:space="preserve">TM</w:t>
      </w:r>
      <w:r w:rsidDel="00000000" w:rsidR="00000000" w:rsidRPr="00000000">
        <w:rPr>
          <w:rtl w:val="0"/>
        </w:rPr>
        <w:t xml:space="preserve"> thereafter) developed by Atomionics Pte. Ltd. and paired with the Trimble R4s for cm-level locational positioning. Unlike conventional gravimeters, Gravio is a quantum sensor that works based on the matter-wave interference phenomenon. This involves a free falling test mass (a cloud of atoms), which is interrogated by three laser pulses (defining the timing and displacement of the atoms), whose output is a function of the local gravity. Considering the isomorphic feature of the atoms and the absence of mechanical </w:t>
      </w:r>
      <w:r w:rsidDel="00000000" w:rsidR="00000000" w:rsidRPr="00000000">
        <w:rPr>
          <w:rFonts w:ascii="Roboto" w:cs="Roboto" w:eastAsia="Roboto" w:hAnsi="Roboto"/>
          <w:color w:val="444746"/>
          <w:sz w:val="21"/>
          <w:szCs w:val="21"/>
          <w:rtl w:val="0"/>
        </w:rPr>
        <w:t xml:space="preserve">interaction with these atoms</w:t>
      </w:r>
      <w:r w:rsidDel="00000000" w:rsidR="00000000" w:rsidRPr="00000000">
        <w:rPr>
          <w:rtl w:val="0"/>
        </w:rPr>
        <w:t xml:space="preserve">, the key advantage is its drift-free, absolute measurements.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The direct output </w:t>
      </w:r>
      <w:r w:rsidDel="00000000" w:rsidR="00000000" w:rsidRPr="00000000">
        <w:rPr>
          <w:i w:val="1"/>
          <w:rtl w:val="0"/>
        </w:rPr>
        <w:t xml:space="preserve">P</w:t>
      </w:r>
      <w:r w:rsidDel="00000000" w:rsidR="00000000" w:rsidRPr="00000000">
        <w:rPr>
          <w:rtl w:val="0"/>
        </w:rPr>
        <w:t xml:space="preserve"> of Gravio is the normalized population of the atoms in a particular internal state, which is a function of the local gravitational acceleration </w:t>
      </w:r>
      <w:r w:rsidDel="00000000" w:rsidR="00000000" w:rsidRPr="00000000">
        <w:rPr>
          <w:i w:val="1"/>
          <w:rtl w:val="0"/>
        </w:rPr>
        <w:t xml:space="preserve">g </w:t>
      </w:r>
      <w:r w:rsidDel="00000000" w:rsidR="00000000" w:rsidRPr="00000000">
        <w:rPr>
          <w:rtl w:val="0"/>
        </w:rPr>
        <w:t xml:space="preserve">[1]:</w:t>
      </w:r>
      <w:r w:rsidDel="00000000" w:rsidR="00000000" w:rsidRPr="00000000">
        <w:rPr>
          <w:rtl w:val="0"/>
        </w:rPr>
        <w:t xml:space="preserve"> </w:t>
      </w:r>
    </w:p>
    <w:tbl>
      <w:tblPr>
        <w:tblStyle w:val="Table1"/>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gridCol w:w="720"/>
        <w:tblGridChange w:id="0">
          <w:tblGrid>
            <w:gridCol w:w="9105"/>
            <w:gridCol w:w="7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1">
            <w:pPr>
              <w:jc w:val="center"/>
              <w:rPr/>
            </w:pPr>
            <m:oMath>
              <m:r>
                <w:rPr/>
                <m:t xml:space="preserve">P=</m:t>
              </m:r>
              <m:f>
                <m:fPr>
                  <m:ctrlPr>
                    <w:rPr/>
                  </m:ctrlPr>
                </m:fPr>
                <m:num>
                  <m:r>
                    <w:rPr/>
                    <m:t xml:space="preserve">C</m:t>
                  </m:r>
                </m:num>
                <m:den>
                  <m:r>
                    <w:rPr/>
                    <m:t xml:space="preserve">2</m:t>
                  </m:r>
                </m:den>
              </m:f>
              <m:r>
                <w:rPr/>
                <m:t xml:space="preserve">cos(</m:t>
              </m:r>
              <m:sSub>
                <m:sSubPr>
                  <m:ctrlPr>
                    <w:rPr/>
                  </m:ctrlPr>
                </m:sSubPr>
                <m:e>
                  <m:r>
                    <w:rPr/>
                    <m:t xml:space="preserve">k</m:t>
                  </m:r>
                </m:e>
                <m:sub>
                  <m:r>
                    <w:rPr/>
                    <m:t xml:space="preserve">eff</m:t>
                  </m:r>
                </m:sub>
              </m:sSub>
              <m:r>
                <w:rPr/>
                <m:t>⋅</m:t>
              </m:r>
              <m:r>
                <w:rPr/>
                <m:t xml:space="preserve">g</m:t>
              </m:r>
              <m:sSup>
                <m:sSupPr>
                  <m:ctrlPr>
                    <w:rPr/>
                  </m:ctrlPr>
                </m:sSupPr>
                <m:e>
                  <m:r>
                    <w:rPr/>
                    <m:t xml:space="preserve">T</m:t>
                  </m:r>
                </m:e>
                <m:sup>
                  <m:r>
                    <w:rPr/>
                    <m:t xml:space="preserve">2</m:t>
                  </m:r>
                </m:sup>
              </m:sSup>
              <m:r>
                <w:rPr/>
                <m:t xml:space="preserve">cos</m:t>
              </m:r>
              <m:r>
                <w:rPr/>
                <m:t>θ</m:t>
              </m:r>
              <m:r>
                <w:rPr/>
                <m:t xml:space="preserve">-2</m:t>
              </m:r>
              <m:r>
                <w:rPr/>
                <m:t>π</m:t>
              </m:r>
              <m:r>
                <w:rPr/>
                <m:t>α</m:t>
              </m:r>
              <m:sSup>
                <m:sSupPr>
                  <m:ctrlPr>
                    <w:rPr/>
                  </m:ctrlPr>
                </m:sSupPr>
                <m:e>
                  <m:r>
                    <w:rPr/>
                    <m:t xml:space="preserve">T</m:t>
                  </m:r>
                </m:e>
                <m:sup>
                  <m:r>
                    <w:rPr/>
                    <m:t xml:space="preserve">2</m:t>
                  </m:r>
                </m:sup>
              </m:sSup>
              <m:r>
                <w:rPr/>
                <m:t xml:space="preserve">+</m:t>
              </m:r>
              <m:sSub>
                <m:sSubPr>
                  <m:ctrlPr>
                    <w:rPr/>
                  </m:ctrlPr>
                </m:sSubPr>
                <m:e>
                  <m:r>
                    <w:rPr/>
                    <m:t>Φ</m:t>
                  </m:r>
                </m:e>
                <m:sub>
                  <m:r>
                    <w:rPr/>
                    <m:t xml:space="preserve">vib</m:t>
                  </m:r>
                </m:sub>
              </m:sSub>
              <m:r>
                <w:rPr/>
                <m:t xml:space="preserve">)+A</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53">
      <w:pPr>
        <w:jc w:val="both"/>
        <w:rPr/>
      </w:pPr>
      <w:r w:rsidDel="00000000" w:rsidR="00000000" w:rsidRPr="00000000">
        <w:rPr>
          <w:rtl w:val="0"/>
        </w:rPr>
        <w:t xml:space="preserve">where </w:t>
      </w:r>
      <w:r w:rsidDel="00000000" w:rsidR="00000000" w:rsidRPr="00000000">
        <w:rPr>
          <w:i w:val="1"/>
          <w:rtl w:val="0"/>
        </w:rPr>
        <w:t xml:space="preserve">k</w:t>
      </w:r>
      <w:r w:rsidDel="00000000" w:rsidR="00000000" w:rsidRPr="00000000">
        <w:rPr>
          <w:i w:val="1"/>
          <w:vertAlign w:val="subscript"/>
          <w:rtl w:val="0"/>
        </w:rPr>
        <w:t xml:space="preserve">eff</w:t>
      </w:r>
      <w:r w:rsidDel="00000000" w:rsidR="00000000" w:rsidRPr="00000000">
        <w:rPr>
          <w:rtl w:val="0"/>
        </w:rPr>
        <w:t xml:space="preserve"> is the effective wave vector of the interrogation laser beams, </w:t>
      </w:r>
      <w:r w:rsidDel="00000000" w:rsidR="00000000" w:rsidRPr="00000000">
        <w:rPr>
          <w:i w:val="1"/>
          <w:rtl w:val="0"/>
        </w:rPr>
        <w:t xml:space="preserve">θ</w:t>
      </w:r>
      <w:r w:rsidDel="00000000" w:rsidR="00000000" w:rsidRPr="00000000">
        <w:rPr>
          <w:rtl w:val="0"/>
        </w:rPr>
        <w:t xml:space="preserve"> is the azimuthal angle between Gravio (the laser beam) and the local gravity, </w:t>
      </w:r>
      <w:r w:rsidDel="00000000" w:rsidR="00000000" w:rsidRPr="00000000">
        <w:rPr>
          <w:i w:val="1"/>
          <w:rtl w:val="0"/>
        </w:rPr>
        <w:t xml:space="preserve">T</w:t>
      </w:r>
      <w:r w:rsidDel="00000000" w:rsidR="00000000" w:rsidRPr="00000000">
        <w:rPr>
          <w:rtl w:val="0"/>
        </w:rPr>
        <w:t xml:space="preserve"> is the time interval between the three laser pulses forming a Mach-Zehnder type atomic interferometer, </w:t>
      </w:r>
      <w:r w:rsidDel="00000000" w:rsidR="00000000" w:rsidRPr="00000000">
        <w:rPr>
          <w:i w:val="1"/>
          <w:rtl w:val="0"/>
        </w:rPr>
        <w:t xml:space="preserve">α</w:t>
      </w:r>
      <w:r w:rsidDel="00000000" w:rsidR="00000000" w:rsidRPr="00000000">
        <w:rPr>
          <w:rtl w:val="0"/>
        </w:rPr>
        <w:t xml:space="preserve"> is the chirp rate of the laser beam frequency for mapping out the Doppler shift due to the free fall of atoms, </w:t>
      </w:r>
      <w:r w:rsidDel="00000000" w:rsidR="00000000" w:rsidRPr="00000000">
        <w:rPr>
          <w:i w:val="1"/>
          <w:rtl w:val="0"/>
        </w:rPr>
        <w:t xml:space="preserve">Φ</w:t>
      </w:r>
      <w:r w:rsidDel="00000000" w:rsidR="00000000" w:rsidRPr="00000000">
        <w:rPr>
          <w:i w:val="1"/>
          <w:vertAlign w:val="subscript"/>
          <w:rtl w:val="0"/>
        </w:rPr>
        <w:t xml:space="preserve">vib</w:t>
      </w:r>
      <w:r w:rsidDel="00000000" w:rsidR="00000000" w:rsidRPr="00000000">
        <w:rPr>
          <w:rtl w:val="0"/>
        </w:rPr>
        <w:t xml:space="preserve"> is the phase shift introduced by the vibration, and </w:t>
      </w:r>
      <w:r w:rsidDel="00000000" w:rsidR="00000000" w:rsidRPr="00000000">
        <w:rPr>
          <w:i w:val="1"/>
          <w:rtl w:val="0"/>
        </w:rPr>
        <w:t xml:space="preserve">C</w:t>
      </w:r>
      <w:r w:rsidDel="00000000" w:rsidR="00000000" w:rsidRPr="00000000">
        <w:rPr>
          <w:rtl w:val="0"/>
        </w:rPr>
        <w:t xml:space="preserve"> and </w:t>
      </w:r>
      <w:r w:rsidDel="00000000" w:rsidR="00000000" w:rsidRPr="00000000">
        <w:rPr>
          <w:i w:val="1"/>
          <w:rtl w:val="0"/>
        </w:rPr>
        <w:t xml:space="preserve">A</w:t>
      </w:r>
      <w:r w:rsidDel="00000000" w:rsidR="00000000" w:rsidRPr="00000000">
        <w:rPr>
          <w:rtl w:val="0"/>
        </w:rPr>
        <w:t xml:space="preserve"> are the contrast and offset of the sinusoid respectively. Therefore, by scanning the chirp rate across the sinusoidal fringe and acquiring the local minimum </w:t>
      </w:r>
      <w:r w:rsidDel="00000000" w:rsidR="00000000" w:rsidRPr="00000000">
        <w:rPr>
          <w:i w:val="1"/>
          <w:rtl w:val="0"/>
        </w:rPr>
        <w:t xml:space="preserve">α</w:t>
      </w:r>
      <w:r w:rsidDel="00000000" w:rsidR="00000000" w:rsidRPr="00000000">
        <w:rPr>
          <w:i w:val="1"/>
          <w:vertAlign w:val="subscript"/>
          <w:rtl w:val="0"/>
        </w:rPr>
        <w:t xml:space="preserve">0</w:t>
      </w:r>
      <w:r w:rsidDel="00000000" w:rsidR="00000000" w:rsidRPr="00000000">
        <w:rPr>
          <w:rtl w:val="0"/>
        </w:rPr>
        <w:t xml:space="preserve">, we can derive the local gravity </w:t>
      </w:r>
      <w:r w:rsidDel="00000000" w:rsidR="00000000" w:rsidRPr="00000000">
        <w:rPr>
          <w:i w:val="1"/>
          <w:rtl w:val="0"/>
        </w:rPr>
        <w:t xml:space="preserve">g</w:t>
      </w:r>
      <w:r w:rsidDel="00000000" w:rsidR="00000000" w:rsidRPr="00000000">
        <w:rPr>
          <w:rtl w:val="0"/>
        </w:rPr>
        <w:t xml:space="preserve"> by:</w:t>
      </w:r>
    </w:p>
    <w:tbl>
      <w:tblPr>
        <w:tblStyle w:val="Table2"/>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gridCol w:w="720"/>
        <w:tblGridChange w:id="0">
          <w:tblGrid>
            <w:gridCol w:w="9105"/>
            <w:gridCol w:w="7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4">
            <w:pPr>
              <w:jc w:val="center"/>
              <w:rPr/>
            </w:pPr>
            <m:oMath>
              <m:r>
                <w:rPr/>
                <m:t xml:space="preserve">g=</m:t>
              </m:r>
              <m:f>
                <m:fPr>
                  <m:ctrlPr>
                    <w:rPr/>
                  </m:ctrlPr>
                </m:fPr>
                <m:num>
                  <m:r>
                    <w:rPr/>
                    <m:t xml:space="preserve">2</m:t>
                  </m:r>
                  <m:r>
                    <w:rPr/>
                    <m:t>π</m:t>
                  </m:r>
                  <m:sSub>
                    <m:sSubPr>
                      <m:ctrlPr>
                        <w:rPr/>
                      </m:ctrlPr>
                    </m:sSubPr>
                    <m:e>
                      <m:r>
                        <w:rPr/>
                        <m:t>α</m:t>
                      </m:r>
                    </m:e>
                    <m:sub>
                      <m:r>
                        <w:rPr/>
                        <m:t xml:space="preserve">0</m:t>
                      </m:r>
                    </m:sub>
                  </m:sSub>
                </m:num>
                <m:den>
                  <m:sSub>
                    <m:sSubPr>
                      <m:ctrlPr>
                        <w:rPr/>
                      </m:ctrlPr>
                    </m:sSubPr>
                    <m:e>
                      <m:r>
                        <w:rPr/>
                        <m:t xml:space="preserve">k</m:t>
                      </m:r>
                    </m:e>
                    <m:sub>
                      <m:r>
                        <w:rPr/>
                        <m:t xml:space="preserve">eff</m:t>
                      </m:r>
                    </m:sub>
                  </m:sSub>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rPr/>
            </w:pPr>
            <w:r w:rsidDel="00000000" w:rsidR="00000000" w:rsidRPr="00000000">
              <w:rPr>
                <w:rtl w:val="0"/>
              </w:rPr>
              <w:t xml:space="preserve">(2)</w:t>
            </w:r>
          </w:p>
        </w:tc>
      </w:tr>
    </w:tbl>
    <w:p w:rsidR="00000000" w:rsidDel="00000000" w:rsidP="00000000" w:rsidRDefault="00000000" w:rsidRPr="00000000" w14:paraId="0000005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Fig. 4 shows a simplified schematic diagram of Gravio integrated into a Toyota LandCruiser Troop Carrier (A). Gravio comprises the sensor head (B, a) hosted by a tilt-stage, powered by the control module (B, b). Commands and data processing were handled by the control computer (B, c). Additionally, a differential GPS receiver (B, d) was aligned along the same vertical axis as the sensor, ensuring positional signals were collected to an accuracy of up to 2.5 cm. The 20 kWh battery unit (B, e) powered the entire system to sustain continuous operation for 48 hours.</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5943600" cy="20193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i w:val="1"/>
        </w:rPr>
      </w:pPr>
      <w:r w:rsidDel="00000000" w:rsidR="00000000" w:rsidRPr="00000000">
        <w:rPr>
          <w:i w:val="1"/>
          <w:rtl w:val="0"/>
        </w:rPr>
        <w:t xml:space="preserve">Figure 2: Simplified Schematic Diagram of Gravio </w:t>
      </w:r>
    </w:p>
    <w:p w:rsidR="00000000" w:rsidDel="00000000" w:rsidP="00000000" w:rsidRDefault="00000000" w:rsidRPr="00000000" w14:paraId="0000005B">
      <w:pPr>
        <w:jc w:val="both"/>
        <w:rPr/>
      </w:pPr>
      <w:r w:rsidDel="00000000" w:rsidR="00000000" w:rsidRPr="00000000">
        <w:rPr>
          <w:i w:val="1"/>
          <w:rtl w:val="0"/>
        </w:rPr>
        <w:t xml:space="preserve">(A). Toyota LandCruiser Troop Carrier; (B). Simplified Schematic Diagram of Gravio, with (a) sensor head, (b) control module consisting of the laser, power supplies, and microwave modules, (c) battery unit; (d) control computer, (e) GPS receiver</w: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jc w:val="center"/>
        <w:rPr>
          <w:b w:val="1"/>
        </w:rPr>
      </w:pPr>
      <w:r w:rsidDel="00000000" w:rsidR="00000000" w:rsidRPr="00000000">
        <w:rPr>
          <w:b w:val="1"/>
          <w:rtl w:val="0"/>
        </w:rPr>
        <w:t xml:space="preserve">Table 1: Specifications of Gravio</w:t>
      </w:r>
    </w:p>
    <w:p w:rsidR="00000000" w:rsidDel="00000000" w:rsidP="00000000" w:rsidRDefault="00000000" w:rsidRPr="00000000" w14:paraId="0000005F">
      <w:pPr>
        <w:jc w:val="cente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60">
            <w:pPr>
              <w:widowControl w:val="0"/>
              <w:spacing w:line="240" w:lineRule="auto"/>
              <w:jc w:val="center"/>
              <w:rPr/>
            </w:pPr>
            <w:r w:rsidDel="00000000" w:rsidR="00000000" w:rsidRPr="00000000">
              <w:rPr>
                <w:rtl w:val="0"/>
              </w:rPr>
            </w:r>
          </w:p>
        </w:tc>
        <w:tc>
          <w:tcPr>
            <w:shd w:fill="auto" w:val="clear"/>
            <w:tcMar>
              <w:top w:w="72.0" w:type="dxa"/>
              <w:left w:w="72.0" w:type="dxa"/>
              <w:bottom w:w="72.0" w:type="dxa"/>
              <w:right w:w="72.0" w:type="dxa"/>
            </w:tcMar>
            <w:vAlign w:val="center"/>
          </w:tcPr>
          <w:p w:rsidR="00000000" w:rsidDel="00000000" w:rsidP="00000000" w:rsidRDefault="00000000" w:rsidRPr="00000000" w14:paraId="00000061">
            <w:pPr>
              <w:widowControl w:val="0"/>
              <w:spacing w:line="240" w:lineRule="auto"/>
              <w:jc w:val="center"/>
              <w:rPr>
                <w:b w:val="1"/>
              </w:rPr>
            </w:pPr>
            <w:r w:rsidDel="00000000" w:rsidR="00000000" w:rsidRPr="00000000">
              <w:rPr>
                <w:b w:val="1"/>
                <w:rtl w:val="0"/>
              </w:rPr>
              <w:t xml:space="preserve">Specifications</w:t>
            </w:r>
          </w:p>
        </w:tc>
        <w:tc>
          <w:tcPr>
            <w:shd w:fill="auto" w:val="clear"/>
            <w:tcMar>
              <w:top w:w="72.0" w:type="dxa"/>
              <w:left w:w="72.0" w:type="dxa"/>
              <w:bottom w:w="72.0" w:type="dxa"/>
              <w:right w:w="72.0" w:type="dxa"/>
            </w:tcMar>
            <w:vAlign w:val="center"/>
          </w:tcPr>
          <w:p w:rsidR="00000000" w:rsidDel="00000000" w:rsidP="00000000" w:rsidRDefault="00000000" w:rsidRPr="00000000" w14:paraId="00000062">
            <w:pPr>
              <w:widowControl w:val="0"/>
              <w:spacing w:line="240" w:lineRule="auto"/>
              <w:jc w:val="center"/>
              <w:rPr>
                <w:b w:val="1"/>
              </w:rPr>
            </w:pPr>
            <w:r w:rsidDel="00000000" w:rsidR="00000000" w:rsidRPr="00000000">
              <w:rPr>
                <w:b w:val="1"/>
                <w:rtl w:val="0"/>
              </w:rPr>
              <w:t xml:space="preserve">Remarks</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63">
            <w:pPr>
              <w:widowControl w:val="0"/>
              <w:spacing w:line="240" w:lineRule="auto"/>
              <w:jc w:val="center"/>
              <w:rPr>
                <w:b w:val="1"/>
              </w:rPr>
            </w:pPr>
            <w:r w:rsidDel="00000000" w:rsidR="00000000" w:rsidRPr="00000000">
              <w:rPr>
                <w:b w:val="1"/>
                <w:rtl w:val="0"/>
              </w:rPr>
              <w:t xml:space="preserve">Reading resolution</w:t>
            </w:r>
          </w:p>
        </w:tc>
        <w:tc>
          <w:tcPr>
            <w:shd w:fill="auto" w:val="clear"/>
            <w:tcMar>
              <w:top w:w="72.0" w:type="dxa"/>
              <w:left w:w="72.0" w:type="dxa"/>
              <w:bottom w:w="72.0" w:type="dxa"/>
              <w:right w:w="72.0" w:type="dxa"/>
            </w:tcMar>
            <w:vAlign w:val="center"/>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~0.5 mGal</w:t>
            </w:r>
          </w:p>
        </w:tc>
        <w:tc>
          <w:tcPr>
            <w:shd w:fill="auto" w:val="clear"/>
            <w:tcMar>
              <w:top w:w="72.0" w:type="dxa"/>
              <w:left w:w="72.0" w:type="dxa"/>
              <w:bottom w:w="72.0" w:type="dxa"/>
              <w:right w:w="72.0" w:type="dxa"/>
            </w:tcMar>
            <w:vAlign w:val="center"/>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Averaged resolution for g measurement</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66">
            <w:pPr>
              <w:widowControl w:val="0"/>
              <w:spacing w:line="240" w:lineRule="auto"/>
              <w:jc w:val="center"/>
              <w:rPr>
                <w:b w:val="1"/>
              </w:rPr>
            </w:pPr>
            <w:r w:rsidDel="00000000" w:rsidR="00000000" w:rsidRPr="00000000">
              <w:rPr>
                <w:b w:val="1"/>
                <w:rtl w:val="0"/>
              </w:rPr>
              <w:t xml:space="preserve">Cycle time</w:t>
            </w:r>
          </w:p>
        </w:tc>
        <w:tc>
          <w:tcPr>
            <w:shd w:fill="auto" w:val="clear"/>
            <w:tcMar>
              <w:top w:w="72.0" w:type="dxa"/>
              <w:left w:w="72.0" w:type="dxa"/>
              <w:bottom w:w="72.0" w:type="dxa"/>
              <w:right w:w="72.0" w:type="dxa"/>
            </w:tcMar>
            <w:vAlign w:val="center"/>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3 min</w:t>
            </w:r>
          </w:p>
        </w:tc>
        <w:tc>
          <w:tcPr>
            <w:shd w:fill="auto" w:val="clear"/>
            <w:tcMar>
              <w:top w:w="72.0" w:type="dxa"/>
              <w:left w:w="72.0" w:type="dxa"/>
              <w:bottom w:w="72.0" w:type="dxa"/>
              <w:right w:w="72.0" w:type="dxa"/>
            </w:tcMar>
            <w:vAlign w:val="center"/>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Each data acquisition cycle excluding driving</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69">
            <w:pPr>
              <w:widowControl w:val="0"/>
              <w:spacing w:line="240" w:lineRule="auto"/>
              <w:jc w:val="center"/>
              <w:rPr>
                <w:b w:val="1"/>
              </w:rPr>
            </w:pPr>
            <w:r w:rsidDel="00000000" w:rsidR="00000000" w:rsidRPr="00000000">
              <w:rPr>
                <w:b w:val="1"/>
                <w:rtl w:val="0"/>
              </w:rPr>
              <w:t xml:space="preserve">GPS accuracy</w:t>
            </w:r>
          </w:p>
        </w:tc>
        <w:tc>
          <w:tcPr>
            <w:shd w:fill="auto" w:val="clear"/>
            <w:tcMar>
              <w:top w:w="72.0" w:type="dxa"/>
              <w:left w:w="72.0" w:type="dxa"/>
              <w:bottom w:w="72.0" w:type="dxa"/>
              <w:right w:w="72.0" w:type="dxa"/>
            </w:tcMar>
            <w:vAlign w:val="center"/>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x and y axes: 2.5 cm</w:t>
              <w:br w:type="textWrapping"/>
              <w:t xml:space="preserve">z axis: 5 cm</w:t>
            </w:r>
          </w:p>
        </w:tc>
        <w:tc>
          <w:tcPr>
            <w:shd w:fill="auto" w:val="clear"/>
            <w:tcMar>
              <w:top w:w="72.0" w:type="dxa"/>
              <w:left w:w="72.0" w:type="dxa"/>
              <w:bottom w:w="72.0" w:type="dxa"/>
              <w:right w:w="72.0" w:type="dxa"/>
            </w:tcMar>
            <w:vAlign w:val="center"/>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6C">
            <w:pPr>
              <w:widowControl w:val="0"/>
              <w:spacing w:line="240" w:lineRule="auto"/>
              <w:jc w:val="center"/>
              <w:rPr>
                <w:b w:val="1"/>
              </w:rPr>
            </w:pPr>
            <w:r w:rsidDel="00000000" w:rsidR="00000000" w:rsidRPr="00000000">
              <w:rPr>
                <w:b w:val="1"/>
                <w:rtl w:val="0"/>
              </w:rPr>
              <w:t xml:space="preserve">Height of sensor from ground</w:t>
            </w:r>
          </w:p>
        </w:tc>
        <w:tc>
          <w:tcPr>
            <w:shd w:fill="auto" w:val="clear"/>
            <w:tcMar>
              <w:top w:w="72.0" w:type="dxa"/>
              <w:left w:w="72.0" w:type="dxa"/>
              <w:bottom w:w="72.0" w:type="dxa"/>
              <w:right w:w="72.0" w:type="dxa"/>
            </w:tcMar>
            <w:vAlign w:val="center"/>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1.7 m</w:t>
            </w:r>
          </w:p>
        </w:tc>
        <w:tc>
          <w:tcPr>
            <w:shd w:fill="auto" w:val="clear"/>
            <w:tcMar>
              <w:top w:w="72.0" w:type="dxa"/>
              <w:left w:w="72.0" w:type="dxa"/>
              <w:bottom w:w="72.0" w:type="dxa"/>
              <w:right w:w="72.0" w:type="dxa"/>
            </w:tcMar>
            <w:vAlign w:val="center"/>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6F">
            <w:pPr>
              <w:widowControl w:val="0"/>
              <w:spacing w:line="240" w:lineRule="auto"/>
              <w:jc w:val="center"/>
              <w:rPr>
                <w:b w:val="1"/>
              </w:rPr>
            </w:pPr>
            <w:r w:rsidDel="00000000" w:rsidR="00000000" w:rsidRPr="00000000">
              <w:rPr>
                <w:b w:val="1"/>
                <w:rtl w:val="0"/>
              </w:rPr>
              <w:t xml:space="preserve">Height of GPS receiver from ground</w:t>
            </w:r>
          </w:p>
        </w:tc>
        <w:tc>
          <w:tcPr>
            <w:shd w:fill="auto" w:val="clear"/>
            <w:tcMar>
              <w:top w:w="72.0" w:type="dxa"/>
              <w:left w:w="72.0" w:type="dxa"/>
              <w:bottom w:w="72.0" w:type="dxa"/>
              <w:right w:w="72.0" w:type="dxa"/>
            </w:tcMar>
            <w:vAlign w:val="center"/>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2.2 m</w:t>
            </w:r>
          </w:p>
        </w:tc>
        <w:tc>
          <w:tcPr>
            <w:shd w:fill="auto" w:val="clear"/>
            <w:tcMar>
              <w:top w:w="72.0" w:type="dxa"/>
              <w:left w:w="72.0" w:type="dxa"/>
              <w:bottom w:w="72.0" w:type="dxa"/>
              <w:right w:w="72.0" w:type="dxa"/>
            </w:tcMar>
            <w:vAlign w:val="center"/>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72">
            <w:pPr>
              <w:widowControl w:val="0"/>
              <w:spacing w:line="240" w:lineRule="auto"/>
              <w:jc w:val="center"/>
              <w:rPr>
                <w:b w:val="1"/>
              </w:rPr>
            </w:pPr>
            <w:r w:rsidDel="00000000" w:rsidR="00000000" w:rsidRPr="00000000">
              <w:rPr>
                <w:b w:val="1"/>
                <w:rtl w:val="0"/>
              </w:rPr>
              <w:t xml:space="preserve">Tilt stage residual tilt angle</w:t>
            </w:r>
          </w:p>
        </w:tc>
        <w:tc>
          <w:tcPr>
            <w:shd w:fill="auto" w:val="clear"/>
            <w:tcMar>
              <w:top w:w="72.0" w:type="dxa"/>
              <w:left w:w="72.0" w:type="dxa"/>
              <w:bottom w:w="72.0" w:type="dxa"/>
              <w:right w:w="72.0" w:type="dxa"/>
            </w:tcMar>
            <w:vAlign w:val="center"/>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&lt;0.2°</w:t>
            </w:r>
          </w:p>
        </w:tc>
        <w:tc>
          <w:tcPr>
            <w:shd w:fill="auto" w:val="clear"/>
            <w:tcMar>
              <w:top w:w="72.0" w:type="dxa"/>
              <w:left w:w="72.0" w:type="dxa"/>
              <w:bottom w:w="72.0" w:type="dxa"/>
              <w:right w:w="72.0" w:type="dxa"/>
            </w:tcMar>
            <w:vAlign w:val="center"/>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75">
            <w:pPr>
              <w:widowControl w:val="0"/>
              <w:spacing w:line="240" w:lineRule="auto"/>
              <w:jc w:val="center"/>
              <w:rPr>
                <w:b w:val="1"/>
              </w:rPr>
            </w:pPr>
            <w:r w:rsidDel="00000000" w:rsidR="00000000" w:rsidRPr="00000000">
              <w:rPr>
                <w:b w:val="1"/>
                <w:rtl w:val="0"/>
              </w:rPr>
              <w:t xml:space="preserve">Operating temperature </w:t>
            </w:r>
          </w:p>
        </w:tc>
        <w:tc>
          <w:tcPr>
            <w:shd w:fill="auto" w:val="clear"/>
            <w:tcMar>
              <w:top w:w="72.0" w:type="dxa"/>
              <w:left w:w="72.0" w:type="dxa"/>
              <w:bottom w:w="72.0" w:type="dxa"/>
              <w:right w:w="72.0" w:type="dxa"/>
            </w:tcMar>
            <w:vAlign w:val="center"/>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25 - 40°C</w:t>
            </w:r>
          </w:p>
        </w:tc>
        <w:tc>
          <w:tcPr>
            <w:shd w:fill="auto" w:val="clear"/>
            <w:tcMar>
              <w:top w:w="72.0" w:type="dxa"/>
              <w:left w:w="72.0" w:type="dxa"/>
              <w:bottom w:w="72.0" w:type="dxa"/>
              <w:right w:w="72.0" w:type="dxa"/>
            </w:tcMar>
            <w:vAlign w:val="center"/>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Maintained using a water cooling system</w:t>
            </w:r>
          </w:p>
        </w:tc>
      </w:tr>
      <w:tr>
        <w:trPr>
          <w:cantSplit w:val="0"/>
          <w:tblHeader w:val="0"/>
        </w:trPr>
        <w:tc>
          <w:tcPr>
            <w:shd w:fill="auto" w:val="clear"/>
            <w:tcMar>
              <w:top w:w="72.0" w:type="dxa"/>
              <w:left w:w="72.0" w:type="dxa"/>
              <w:bottom w:w="72.0" w:type="dxa"/>
              <w:right w:w="72.0" w:type="dxa"/>
            </w:tcMar>
            <w:vAlign w:val="center"/>
          </w:tcPr>
          <w:p w:rsidR="00000000" w:rsidDel="00000000" w:rsidP="00000000" w:rsidRDefault="00000000" w:rsidRPr="00000000" w14:paraId="00000078">
            <w:pPr>
              <w:widowControl w:val="0"/>
              <w:spacing w:line="240" w:lineRule="auto"/>
              <w:jc w:val="center"/>
              <w:rPr>
                <w:b w:val="1"/>
              </w:rPr>
            </w:pPr>
            <w:r w:rsidDel="00000000" w:rsidR="00000000" w:rsidRPr="00000000">
              <w:rPr>
                <w:b w:val="1"/>
                <w:rtl w:val="0"/>
              </w:rPr>
              <w:t xml:space="preserve">Power consumption</w:t>
            </w:r>
          </w:p>
        </w:tc>
        <w:tc>
          <w:tcPr>
            <w:shd w:fill="auto" w:val="clear"/>
            <w:tcMar>
              <w:top w:w="72.0" w:type="dxa"/>
              <w:left w:w="72.0" w:type="dxa"/>
              <w:bottom w:w="72.0" w:type="dxa"/>
              <w:right w:w="72.0" w:type="dxa"/>
            </w:tcMar>
            <w:vAlign w:val="center"/>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400 W</w:t>
            </w:r>
          </w:p>
        </w:tc>
        <w:tc>
          <w:tcPr>
            <w:shd w:fill="auto" w:val="clear"/>
            <w:tcMar>
              <w:top w:w="72.0" w:type="dxa"/>
              <w:left w:w="72.0" w:type="dxa"/>
              <w:bottom w:w="72.0" w:type="dxa"/>
              <w:right w:w="72.0" w:type="dxa"/>
            </w:tcMar>
            <w:vAlign w:val="center"/>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numPr>
          <w:ilvl w:val="0"/>
          <w:numId w:val="2"/>
        </w:numPr>
        <w:ind w:left="720" w:hanging="360"/>
        <w:jc w:val="both"/>
        <w:rPr>
          <w:u w:val="none"/>
        </w:rPr>
      </w:pPr>
      <w:bookmarkStart w:colFirst="0" w:colLast="0" w:name="_1zf8cfadlcp" w:id="14"/>
      <w:bookmarkEnd w:id="14"/>
      <w:r w:rsidDel="00000000" w:rsidR="00000000" w:rsidRPr="00000000">
        <w:rPr>
          <w:rtl w:val="0"/>
        </w:rPr>
        <w:t xml:space="preserve">Data Acquisition</w:t>
      </w:r>
    </w:p>
    <w:p w:rsidR="00000000" w:rsidDel="00000000" w:rsidP="00000000" w:rsidRDefault="00000000" w:rsidRPr="00000000" w14:paraId="0000007E">
      <w:pPr>
        <w:jc w:val="both"/>
        <w:rPr/>
      </w:pPr>
      <w:r w:rsidDel="00000000" w:rsidR="00000000" w:rsidRPr="00000000">
        <w:rPr>
          <w:rtl w:val="0"/>
        </w:rPr>
        <w:t xml:space="preserve">The quantum gravity survey was executed by the survey crew of Atomionics Pte Ltd. The crew was stationed in the Inland Oil Field facility and included 5 members including a technical supervisor. In total, the survey comprised 505 unique gravity stations, 8 of which were removed due to being outliers.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5943600" cy="3340100"/>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i w:val="1"/>
        </w:rPr>
      </w:pPr>
      <w:r w:rsidDel="00000000" w:rsidR="00000000" w:rsidRPr="00000000">
        <w:rPr>
          <w:i w:val="1"/>
          <w:rtl w:val="0"/>
        </w:rPr>
        <w:t xml:space="preserve">Figure 3: Drone Footage of Survey Terrain</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pStyle w:val="Heading2"/>
        <w:jc w:val="both"/>
        <w:rPr/>
      </w:pPr>
      <w:bookmarkStart w:colFirst="0" w:colLast="0" w:name="_w4h8kzrp1fb5" w:id="15"/>
      <w:bookmarkEnd w:id="15"/>
      <w:r w:rsidDel="00000000" w:rsidR="00000000" w:rsidRPr="00000000">
        <w:rPr>
          <w:rtl w:val="0"/>
        </w:rPr>
        <w:t xml:space="preserve">Operational Procedure</w:t>
      </w:r>
    </w:p>
    <w:p w:rsidR="00000000" w:rsidDel="00000000" w:rsidP="00000000" w:rsidRDefault="00000000" w:rsidRPr="00000000" w14:paraId="00000084">
      <w:pPr>
        <w:jc w:val="both"/>
        <w:rPr/>
      </w:pPr>
      <w:r w:rsidDel="00000000" w:rsidR="00000000" w:rsidRPr="00000000">
        <w:rPr>
          <w:rtl w:val="0"/>
        </w:rPr>
        <w:t xml:space="preserve">During the course of the survey, each measurement was initiated with an automated leveling process using the tilt-stage, which guaranteed the operation of Gravio within the targeted measuring range. Subsequently, in the data acquisition phase, 200 free fall experiments were carried out within a span of 2 min. This included scanning the laser chirp rate while measuring the population </w:t>
      </w:r>
      <w:r w:rsidDel="00000000" w:rsidR="00000000" w:rsidRPr="00000000">
        <w:rPr>
          <w:i w:val="1"/>
          <w:rtl w:val="0"/>
        </w:rPr>
        <w:t xml:space="preserve">P</w:t>
      </w:r>
      <w:r w:rsidDel="00000000" w:rsidR="00000000" w:rsidRPr="00000000">
        <w:rPr>
          <w:rtl w:val="0"/>
        </w:rPr>
        <w:t xml:space="preserve"> of atoms in the desired energy state. The collected data was then processed by fitting a cosine function and retrieving </w:t>
      </w:r>
      <w:r w:rsidDel="00000000" w:rsidR="00000000" w:rsidRPr="00000000">
        <w:rPr>
          <w:i w:val="1"/>
          <w:rtl w:val="0"/>
        </w:rPr>
        <w:t xml:space="preserve">g</w:t>
      </w:r>
      <w:r w:rsidDel="00000000" w:rsidR="00000000" w:rsidRPr="00000000">
        <w:rPr>
          <w:rtl w:val="0"/>
        </w:rPr>
        <w:t xml:space="preserve"> from Eq. (2), which took around half a minute.</w:t>
      </w:r>
    </w:p>
    <w:p w:rsidR="00000000" w:rsidDel="00000000" w:rsidP="00000000" w:rsidRDefault="00000000" w:rsidRPr="00000000" w14:paraId="00000085">
      <w:pPr>
        <w:pStyle w:val="Heading2"/>
        <w:jc w:val="both"/>
        <w:rPr/>
      </w:pPr>
      <w:bookmarkStart w:colFirst="0" w:colLast="0" w:name="_ya04zocwqjcb" w:id="16"/>
      <w:bookmarkEnd w:id="16"/>
      <w:r w:rsidDel="00000000" w:rsidR="00000000" w:rsidRPr="00000000">
        <w:rPr>
          <w:rtl w:val="0"/>
        </w:rPr>
        <w:t xml:space="preserve">Post Corrections</w:t>
      </w:r>
    </w:p>
    <w:p w:rsidR="00000000" w:rsidDel="00000000" w:rsidP="00000000" w:rsidRDefault="00000000" w:rsidRPr="00000000" w14:paraId="00000086">
      <w:pPr>
        <w:jc w:val="both"/>
        <w:rPr/>
      </w:pPr>
      <w:r w:rsidDel="00000000" w:rsidR="00000000" w:rsidRPr="00000000">
        <w:rPr>
          <w:rtl w:val="0"/>
        </w:rPr>
        <w:t xml:space="preserve">Eq. (1) underscores that measurements can be influenced by environmental factors like uneven terrain and ground vibrations. Hence, incorporating tilt and vibration corrections during data processing was imperative for ensuring the reliability of the gravity survey [2]. Due to the finite precision of the tilt-stage, residual tilt persisted, necessitating further correction based on two fine tiltmeters installed onto the sensor. The misalignment between the tiltmeters and the sensor was first empirically accounted for, which permitted the true angle of Gravio (with respect to the local gravity) to be determined accurately, and therefore tilt-correct the observed </w:t>
      </w:r>
      <w:r w:rsidDel="00000000" w:rsidR="00000000" w:rsidRPr="00000000">
        <w:rPr>
          <w:i w:val="1"/>
          <w:rtl w:val="0"/>
        </w:rPr>
        <w:t xml:space="preserve">g</w:t>
      </w:r>
      <w:r w:rsidDel="00000000" w:rsidR="00000000" w:rsidRPr="00000000">
        <w:rPr>
          <w:rtl w:val="0"/>
        </w:rPr>
        <w:t xml:space="preserve"> values. </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The equivalence principle states that Earth’s gravitational acceleration cannot be distinguished from mechanical vibrations, which can induce phase noise in the sinusoid. Lab-based gravime- ters address this challenge by utilizing vibration isolation platforms but field-based sensors, like Gravio, experience vibrations from a greater variety of sources due to the dynamic nature of the environment. These vibrations must be accounted for when reading the phase of the atom interferometer for improved accuracy and precision [3]. An accelerometer was installed and it measured the vibrations </w:t>
      </w:r>
      <w:r w:rsidDel="00000000" w:rsidR="00000000" w:rsidRPr="00000000">
        <w:rPr>
          <w:i w:val="1"/>
          <w:rtl w:val="0"/>
        </w:rPr>
        <w:t xml:space="preserve">a</w:t>
      </w:r>
      <w:r w:rsidDel="00000000" w:rsidR="00000000" w:rsidRPr="00000000">
        <w:rPr>
          <w:i w:val="1"/>
          <w:vertAlign w:val="subscript"/>
          <w:rtl w:val="0"/>
        </w:rPr>
        <w:t xml:space="preserve">vib</w:t>
      </w:r>
      <w:r w:rsidDel="00000000" w:rsidR="00000000" w:rsidRPr="00000000">
        <w:rPr>
          <w:rtl w:val="0"/>
        </w:rPr>
        <w:t xml:space="preserve"> experienced by Gravio for each measurement cycle. This allowed us to remove the phase contributions from vibrations, enabling the determination of the true gravity value, where: </w:t>
      </w:r>
    </w:p>
    <w:tbl>
      <w:tblPr>
        <w:tblStyle w:val="Table4"/>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gridCol w:w="720"/>
        <w:tblGridChange w:id="0">
          <w:tblGrid>
            <w:gridCol w:w="9105"/>
            <w:gridCol w:w="7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9">
            <w:pPr>
              <w:jc w:val="center"/>
              <w:rPr/>
            </w:pPr>
            <m:oMath>
              <m:r>
                <w:rPr/>
                <m:t xml:space="preserve">g=</m:t>
              </m:r>
              <m:sSub>
                <m:sSubPr>
                  <m:ctrlPr>
                    <w:rPr/>
                  </m:ctrlPr>
                </m:sSubPr>
                <m:e>
                  <m:r>
                    <w:rPr/>
                    <m:t xml:space="preserve">g</m:t>
                  </m:r>
                </m:e>
                <m:sub>
                  <m:r>
                    <w:rPr/>
                    <m:t xml:space="preserve">measured</m:t>
                  </m:r>
                </m:sub>
              </m:sSub>
              <m:r>
                <w:rPr/>
                <m:t xml:space="preserve">-</m:t>
              </m:r>
              <m:sSub>
                <m:sSubPr>
                  <m:ctrlPr>
                    <w:rPr/>
                  </m:ctrlPr>
                </m:sSubPr>
                <m:e>
                  <m:r>
                    <w:rPr/>
                    <m:t xml:space="preserve">a</m:t>
                  </m:r>
                </m:e>
                <m:sub>
                  <m:r>
                    <w:rPr/>
                    <m:t xml:space="preserve">vib</m:t>
                  </m:r>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rPr/>
            </w:pPr>
            <w:r w:rsidDel="00000000" w:rsidR="00000000" w:rsidRPr="00000000">
              <w:rPr>
                <w:rtl w:val="0"/>
              </w:rPr>
              <w:t xml:space="preserve">(3)</w:t>
            </w:r>
          </w:p>
        </w:tc>
      </w:tr>
    </w:tbl>
    <w:p w:rsidR="00000000" w:rsidDel="00000000" w:rsidP="00000000" w:rsidRDefault="00000000" w:rsidRPr="00000000" w14:paraId="0000008B">
      <w:pPr>
        <w:jc w:val="both"/>
        <w:rPr/>
      </w:pPr>
      <w:r w:rsidDel="00000000" w:rsidR="00000000" w:rsidRPr="00000000">
        <w:rPr>
          <w:rtl w:val="0"/>
        </w:rPr>
        <w:t xml:space="preserve">To further minimize environmental effects, each of the survey lines underwent a smoothing process using a median filter with a filter width of 5. Following this, 8 points were identified to be outliers and excluded from the dataset. The refined dataset served as the raw gravity data for subsequent processing in the </w:t>
      </w:r>
      <w:hyperlink w:anchor="_7cr8vlfnuit9">
        <w:r w:rsidDel="00000000" w:rsidR="00000000" w:rsidRPr="00000000">
          <w:rPr>
            <w:color w:val="1155cc"/>
            <w:u w:val="single"/>
            <w:rtl w:val="0"/>
          </w:rPr>
          <w:t xml:space="preserve">Data Processing</w:t>
        </w:r>
      </w:hyperlink>
      <w:r w:rsidDel="00000000" w:rsidR="00000000" w:rsidRPr="00000000">
        <w:rPr>
          <w:rtl w:val="0"/>
        </w:rPr>
        <w:t xml:space="preserve"> section.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pStyle w:val="Heading2"/>
        <w:jc w:val="both"/>
        <w:rPr/>
      </w:pPr>
      <w:bookmarkStart w:colFirst="0" w:colLast="0" w:name="_skip31fszej3" w:id="17"/>
      <w:bookmarkEnd w:id="17"/>
      <w:r w:rsidDel="00000000" w:rsidR="00000000" w:rsidRPr="00000000">
        <w:rPr>
          <w:rtl w:val="0"/>
        </w:rPr>
        <w:t xml:space="preserve">Calibration</w:t>
      </w:r>
    </w:p>
    <w:p w:rsidR="00000000" w:rsidDel="00000000" w:rsidP="00000000" w:rsidRDefault="00000000" w:rsidRPr="00000000" w14:paraId="0000008D">
      <w:pPr>
        <w:pStyle w:val="Heading3"/>
        <w:rPr/>
      </w:pPr>
      <w:bookmarkStart w:colFirst="0" w:colLast="0" w:name="_dyocznvkbsql" w:id="18"/>
      <w:bookmarkEnd w:id="18"/>
      <w:r w:rsidDel="00000000" w:rsidR="00000000" w:rsidRPr="00000000">
        <w:rPr>
          <w:rtl w:val="0"/>
        </w:rPr>
        <w:t xml:space="preserve">Accuracy</w:t>
      </w:r>
    </w:p>
    <w:p w:rsidR="00000000" w:rsidDel="00000000" w:rsidP="00000000" w:rsidRDefault="00000000" w:rsidRPr="00000000" w14:paraId="0000008E">
      <w:pPr>
        <w:jc w:val="both"/>
        <w:rPr/>
      </w:pPr>
      <w:r w:rsidDel="00000000" w:rsidR="00000000" w:rsidRPr="00000000">
        <w:rPr>
          <w:rtl w:val="0"/>
        </w:rPr>
        <w:t xml:space="preserve">Gravio’s accuracy was verified by comparing its gravity measurement of 978,944.77 ± 0.22 mGal against a base station with a value of 978,945.038 mGal. The coordinates of the base station were -25.54165311, 141.63104154 in the WGS84 coordinate reference system, the ellipsoidal height was 189.934 m with respect to the GRS80 ellipsoid, and the gravity datum was AAGD07. Gravio’s data was taken within 50 m of the base station intermittently throughout the duration of the survey to confirm that Gravio measures absolute gravity.</w:t>
      </w:r>
    </w:p>
    <w:p w:rsidR="00000000" w:rsidDel="00000000" w:rsidP="00000000" w:rsidRDefault="00000000" w:rsidRPr="00000000" w14:paraId="0000008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3"/>
        <w:jc w:val="both"/>
        <w:rPr/>
      </w:pPr>
      <w:bookmarkStart w:colFirst="0" w:colLast="0" w:name="_toeuckx73vf1" w:id="19"/>
      <w:bookmarkEnd w:id="19"/>
      <w:r w:rsidDel="00000000" w:rsidR="00000000" w:rsidRPr="00000000">
        <w:rPr>
          <w:rtl w:val="0"/>
        </w:rPr>
        <w:t xml:space="preserve">Precision</w:t>
      </w:r>
    </w:p>
    <w:p w:rsidR="00000000" w:rsidDel="00000000" w:rsidP="00000000" w:rsidRDefault="00000000" w:rsidRPr="00000000" w14:paraId="00000091">
      <w:pPr>
        <w:jc w:val="both"/>
        <w:rPr/>
      </w:pPr>
      <w:r w:rsidDel="00000000" w:rsidR="00000000" w:rsidRPr="00000000">
        <w:rPr>
          <w:rtl w:val="0"/>
        </w:rPr>
        <w:t xml:space="preserve">Gravio’s performance was reviewed by acquiring gravity measurements overnight consisting of 119 repetitions as shown in Fig. 5 below. These repeats indicate the data quality of both the </w:t>
      </w:r>
      <w:r w:rsidDel="00000000" w:rsidR="00000000" w:rsidRPr="00000000">
        <w:rPr>
          <w:i w:val="1"/>
          <w:rtl w:val="0"/>
        </w:rPr>
        <w:t xml:space="preserve">g</w:t>
      </w:r>
      <w:r w:rsidDel="00000000" w:rsidR="00000000" w:rsidRPr="00000000">
        <w:rPr>
          <w:rtl w:val="0"/>
        </w:rPr>
        <w:t xml:space="preserve"> measurement and the GPS readings. The graph shows a pk-pk fluctuation of 1.30 mGal with a standard deviation of 0.26 mGal.</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drawing>
          <wp:inline distB="114300" distT="114300" distL="114300" distR="114300">
            <wp:extent cx="5943600" cy="27813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i w:val="1"/>
        </w:rPr>
      </w:pPr>
      <w:r w:rsidDel="00000000" w:rsidR="00000000" w:rsidRPr="00000000">
        <w:rPr>
          <w:i w:val="1"/>
          <w:rtl w:val="0"/>
        </w:rPr>
        <w:t xml:space="preserve">Figure 4: Long-Term Calibration of g Measurement Consisting of 119 Overnight Repetitions </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numPr>
          <w:ilvl w:val="0"/>
          <w:numId w:val="2"/>
        </w:numPr>
        <w:ind w:left="720" w:hanging="360"/>
        <w:jc w:val="both"/>
        <w:rPr>
          <w:u w:val="none"/>
        </w:rPr>
      </w:pPr>
      <w:bookmarkStart w:colFirst="0" w:colLast="0" w:name="_7cr8vlfnuit9" w:id="20"/>
      <w:bookmarkEnd w:id="20"/>
      <w:r w:rsidDel="00000000" w:rsidR="00000000" w:rsidRPr="00000000">
        <w:rPr>
          <w:rtl w:val="0"/>
        </w:rPr>
        <w:t xml:space="preserve">Data Processing</w:t>
      </w:r>
    </w:p>
    <w:p w:rsidR="00000000" w:rsidDel="00000000" w:rsidP="00000000" w:rsidRDefault="00000000" w:rsidRPr="00000000" w14:paraId="00000098">
      <w:pPr>
        <w:jc w:val="both"/>
        <w:rPr/>
      </w:pPr>
      <w:r w:rsidDel="00000000" w:rsidR="00000000" w:rsidRPr="00000000">
        <w:rPr>
          <w:rtl w:val="0"/>
        </w:rPr>
        <w:t xml:space="preserve">Gravio measures gravitational acceleration in a specific location at a given time. This acceleration is a composite influence of the mass distribution both above and below the sensor as well as the distance from the Earth’s surface. To extract meaningful insights, background effects that can be mathematically modeled and computed are removed and the gravity dataset is projected onto a reference plane. </w:t>
      </w:r>
      <w:r w:rsidDel="00000000" w:rsidR="00000000" w:rsidRPr="00000000">
        <w:rPr>
          <w:rtl w:val="0"/>
        </w:rPr>
        <w:t xml:space="preserve">This process was facilitated by the application of the following corrections, which were applied using QCTool</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9">
      <w:pPr>
        <w:pStyle w:val="Heading2"/>
        <w:jc w:val="both"/>
        <w:rPr/>
      </w:pPr>
      <w:bookmarkStart w:colFirst="0" w:colLast="0" w:name="_7t7z8o3910qb" w:id="21"/>
      <w:bookmarkEnd w:id="21"/>
      <w:r w:rsidDel="00000000" w:rsidR="00000000" w:rsidRPr="00000000">
        <w:rPr>
          <w:rtl w:val="0"/>
        </w:rPr>
        <w:t xml:space="preserve">Theoretical (Latitude)</w:t>
      </w:r>
    </w:p>
    <w:p w:rsidR="00000000" w:rsidDel="00000000" w:rsidP="00000000" w:rsidRDefault="00000000" w:rsidRPr="00000000" w14:paraId="0000009A">
      <w:pPr>
        <w:jc w:val="both"/>
        <w:rPr/>
      </w:pPr>
      <w:r w:rsidDel="00000000" w:rsidR="00000000" w:rsidRPr="00000000">
        <w:rPr>
          <w:rtl w:val="0"/>
        </w:rPr>
        <w:t xml:space="preserve">To account for the variation in gravity with latitude, theoretical gravity </w:t>
      </w:r>
      <w:r w:rsidDel="00000000" w:rsidR="00000000" w:rsidRPr="00000000">
        <w:rPr>
          <w:i w:val="1"/>
          <w:rtl w:val="0"/>
        </w:rPr>
        <w:t xml:space="preserve">g</w:t>
      </w:r>
      <w:r w:rsidDel="00000000" w:rsidR="00000000" w:rsidRPr="00000000">
        <w:rPr>
          <w:i w:val="1"/>
          <w:vertAlign w:val="subscript"/>
          <w:rtl w:val="0"/>
        </w:rPr>
        <w:t xml:space="preserve">THEO</w:t>
      </w:r>
      <w:r w:rsidDel="00000000" w:rsidR="00000000" w:rsidRPr="00000000">
        <w:rPr>
          <w:rtl w:val="0"/>
        </w:rPr>
        <w:t xml:space="preserve"> at the station location on the Earth's spheroid was calculated with respect to the GRS80 ellipsoid using the following formula:</w:t>
      </w:r>
    </w:p>
    <w:tbl>
      <w:tblPr>
        <w:tblStyle w:val="Table5"/>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gridCol w:w="720"/>
        <w:tblGridChange w:id="0">
          <w:tblGrid>
            <w:gridCol w:w="9105"/>
            <w:gridCol w:w="7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B">
            <w:pPr>
              <w:jc w:val="center"/>
              <w:rPr/>
            </w:pPr>
            <m:oMath>
              <m:sSub>
                <m:sSubPr>
                  <m:ctrlPr>
                    <w:rPr/>
                  </m:ctrlPr>
                </m:sSubPr>
                <m:e>
                  <m:r>
                    <w:rPr/>
                    <m:t xml:space="preserve">g</m:t>
                  </m:r>
                </m:e>
                <m:sub>
                  <m:r>
                    <w:rPr/>
                    <m:t xml:space="preserve">THEO</m:t>
                  </m:r>
                </m:sub>
              </m:sSub>
              <m:r>
                <w:rPr/>
                <m:t xml:space="preserve">=</m:t>
              </m:r>
              <m:f>
                <m:fPr>
                  <m:ctrlPr>
                    <w:rPr/>
                  </m:ctrlPr>
                </m:fPr>
                <m:num>
                  <m:sSub>
                    <m:sSubPr>
                      <m:ctrlPr>
                        <w:rPr/>
                      </m:ctrlPr>
                    </m:sSubPr>
                    <m:e>
                      <m:r>
                        <w:rPr/>
                        <m:t xml:space="preserve">g</m:t>
                      </m:r>
                    </m:e>
                    <m:sub>
                      <m:r>
                        <w:rPr/>
                        <m:t xml:space="preserve">e</m:t>
                      </m:r>
                    </m:sub>
                  </m:sSub>
                  <m:r>
                    <w:rPr/>
                    <m:t xml:space="preserve">(1+k</m:t>
                  </m:r>
                  <m:sSup>
                    <m:sSupPr>
                      <m:ctrlPr>
                        <w:rPr/>
                      </m:ctrlPr>
                    </m:sSupPr>
                    <m:e>
                      <m:r>
                        <w:rPr/>
                        <m:t xml:space="preserve">sin</m:t>
                      </m:r>
                    </m:e>
                    <m:sup>
                      <m:r>
                        <w:rPr/>
                        <m:t xml:space="preserve">2</m:t>
                      </m:r>
                    </m:sup>
                  </m:sSup>
                  <m:r>
                    <w:rPr/>
                    <m:t>φ</m:t>
                  </m:r>
                  <m:r>
                    <w:rPr/>
                    <m:t xml:space="preserve">)</m:t>
                  </m:r>
                </m:num>
                <m:den>
                  <m:rad>
                    <m:radPr>
                      <m:degHide m:val="1"/>
                      <m:ctrlPr>
                        <w:rPr/>
                      </m:ctrlPr>
                    </m:radPr>
                    <m:e>
                      <m:r>
                        <w:rPr/>
                        <m:t xml:space="preserve">(1-</m:t>
                      </m:r>
                      <m:sSup>
                        <m:sSupPr>
                          <m:ctrlPr>
                            <w:rPr/>
                          </m:ctrlPr>
                        </m:sSupPr>
                        <m:e>
                          <m:r>
                            <w:rPr/>
                            <m:t xml:space="preserve">e</m:t>
                          </m:r>
                        </m:e>
                        <m:sup>
                          <m:r>
                            <w:rPr/>
                            <m:t xml:space="preserve">2</m:t>
                          </m:r>
                        </m:sup>
                      </m:sSup>
                      <m:sSup>
                        <m:sSupPr>
                          <m:ctrlPr>
                            <w:rPr/>
                          </m:ctrlPr>
                        </m:sSupPr>
                        <m:e>
                          <m:r>
                            <w:rPr/>
                            <m:t xml:space="preserve">sin</m:t>
                          </m:r>
                        </m:e>
                        <m:sup>
                          <m:r>
                            <w:rPr/>
                            <m:t xml:space="preserve">2</m:t>
                          </m:r>
                        </m:sup>
                      </m:sSup>
                      <m:r>
                        <w:rPr/>
                        <m:t>φ</m:t>
                      </m:r>
                      <m:r>
                        <w:rPr/>
                        <m:t xml:space="preserve">)</m:t>
                      </m:r>
                    </m:e>
                  </m:rad>
                </m:den>
              </m:f>
            </m:oMath>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rPr/>
            </w:pPr>
            <w:r w:rsidDel="00000000" w:rsidR="00000000" w:rsidRPr="00000000">
              <w:rPr>
                <w:rtl w:val="0"/>
              </w:rPr>
              <w:t xml:space="preserve">(4)</w:t>
            </w:r>
          </w:p>
        </w:tc>
      </w:tr>
    </w:tbl>
    <w:p w:rsidR="00000000" w:rsidDel="00000000" w:rsidP="00000000" w:rsidRDefault="00000000" w:rsidRPr="00000000" w14:paraId="0000009D">
      <w:pPr>
        <w:jc w:val="both"/>
        <w:rPr/>
      </w:pPr>
      <w:r w:rsidDel="00000000" w:rsidR="00000000" w:rsidRPr="00000000">
        <w:rPr>
          <w:rtl w:val="0"/>
        </w:rPr>
        <w:t xml:space="preserve">where </w:t>
      </w:r>
      <w:r w:rsidDel="00000000" w:rsidR="00000000" w:rsidRPr="00000000">
        <w:rPr>
          <w:i w:val="1"/>
          <w:rtl w:val="0"/>
        </w:rPr>
        <w:t xml:space="preserve">φ</w:t>
      </w:r>
      <w:r w:rsidDel="00000000" w:rsidR="00000000" w:rsidRPr="00000000">
        <w:rPr>
          <w:rtl w:val="0"/>
        </w:rPr>
        <w:t xml:space="preserve"> is the latitude in degrees, </w:t>
      </w:r>
      <w:r w:rsidDel="00000000" w:rsidR="00000000" w:rsidRPr="00000000">
        <w:rPr>
          <w:i w:val="1"/>
          <w:rtl w:val="0"/>
        </w:rPr>
        <w:t xml:space="preserve">g</w:t>
      </w:r>
      <w:r w:rsidDel="00000000" w:rsidR="00000000" w:rsidRPr="00000000">
        <w:rPr>
          <w:i w:val="1"/>
          <w:vertAlign w:val="subscript"/>
          <w:rtl w:val="0"/>
        </w:rPr>
        <w:t xml:space="preserve">e</w:t>
      </w:r>
      <w:r w:rsidDel="00000000" w:rsidR="00000000" w:rsidRPr="00000000">
        <w:rPr>
          <w:rtl w:val="0"/>
        </w:rPr>
        <w:t xml:space="preserve"> is the normal gravity at the equator equal to 978,032.67715, </w:t>
      </w:r>
      <w:r w:rsidDel="00000000" w:rsidR="00000000" w:rsidRPr="00000000">
        <w:rPr>
          <w:i w:val="1"/>
          <w:rtl w:val="0"/>
        </w:rPr>
        <w:t xml:space="preserve">k</w:t>
      </w:r>
      <w:r w:rsidDel="00000000" w:rsidR="00000000" w:rsidRPr="00000000">
        <w:rPr>
          <w:rtl w:val="0"/>
        </w:rPr>
        <w:t xml:space="preserve"> is a derived constant equal to 0.001931851353, and </w:t>
      </w:r>
      <w:r w:rsidDel="00000000" w:rsidR="00000000" w:rsidRPr="00000000">
        <w:rPr>
          <w:i w:val="1"/>
          <w:rtl w:val="0"/>
        </w:rPr>
        <w:t xml:space="preserve">e</w:t>
      </w:r>
      <w:r w:rsidDel="00000000" w:rsidR="00000000" w:rsidRPr="00000000">
        <w:rPr>
          <w:rtl w:val="0"/>
        </w:rPr>
        <w:t xml:space="preserve"> is the eccentricity where </w:t>
      </w:r>
      <w:r w:rsidDel="00000000" w:rsidR="00000000" w:rsidRPr="00000000">
        <w:rPr>
          <w:i w:val="1"/>
          <w:rtl w:val="0"/>
        </w:rPr>
        <w:t xml:space="preserve">e</w:t>
      </w:r>
      <w:r w:rsidDel="00000000" w:rsidR="00000000" w:rsidRPr="00000000">
        <w:rPr>
          <w:i w:val="1"/>
          <w:vertAlign w:val="superscript"/>
          <w:rtl w:val="0"/>
        </w:rPr>
        <w:t xml:space="preserve">2</w:t>
      </w:r>
      <w:r w:rsidDel="00000000" w:rsidR="00000000" w:rsidRPr="00000000">
        <w:rPr>
          <w:rtl w:val="0"/>
        </w:rPr>
        <w:t xml:space="preserve"> is 0.0066943800229. </w:t>
      </w:r>
    </w:p>
    <w:p w:rsidR="00000000" w:rsidDel="00000000" w:rsidP="00000000" w:rsidRDefault="00000000" w:rsidRPr="00000000" w14:paraId="0000009E">
      <w:pPr>
        <w:pStyle w:val="Heading2"/>
        <w:rPr/>
      </w:pPr>
      <w:bookmarkStart w:colFirst="0" w:colLast="0" w:name="_9dxfmuyurckl" w:id="22"/>
      <w:bookmarkEnd w:id="22"/>
      <w:r w:rsidDel="00000000" w:rsidR="00000000" w:rsidRPr="00000000">
        <w:rPr>
          <w:rtl w:val="0"/>
        </w:rPr>
        <w:t xml:space="preserve">Atmospheric Effect</w:t>
      </w:r>
    </w:p>
    <w:p w:rsidR="00000000" w:rsidDel="00000000" w:rsidP="00000000" w:rsidRDefault="00000000" w:rsidRPr="00000000" w14:paraId="0000009F">
      <w:pPr>
        <w:jc w:val="both"/>
        <w:rPr/>
      </w:pPr>
      <w:r w:rsidDel="00000000" w:rsidR="00000000" w:rsidRPr="00000000">
        <w:rPr>
          <w:rtl w:val="0"/>
        </w:rPr>
        <w:t xml:space="preserve">To adjust for the air density variations that can affect observed gravity, atmospheric effect </w:t>
      </w:r>
      <w:r w:rsidDel="00000000" w:rsidR="00000000" w:rsidRPr="00000000">
        <w:rPr>
          <w:i w:val="1"/>
          <w:rtl w:val="0"/>
        </w:rPr>
        <w:t xml:space="preserve">g</w:t>
      </w:r>
      <w:r w:rsidDel="00000000" w:rsidR="00000000" w:rsidRPr="00000000">
        <w:rPr>
          <w:i w:val="1"/>
          <w:vertAlign w:val="subscript"/>
          <w:rtl w:val="0"/>
        </w:rPr>
        <w:t xml:space="preserve">ATMOS</w:t>
      </w:r>
      <w:r w:rsidDel="00000000" w:rsidR="00000000" w:rsidRPr="00000000">
        <w:rPr>
          <w:rtl w:val="0"/>
        </w:rPr>
        <w:t xml:space="preserve"> corrected for this impact using the following formula:</w:t>
      </w:r>
    </w:p>
    <w:tbl>
      <w:tblPr>
        <w:tblStyle w:val="Table6"/>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gridCol w:w="720"/>
        <w:tblGridChange w:id="0">
          <w:tblGrid>
            <w:gridCol w:w="9105"/>
            <w:gridCol w:w="7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0">
            <w:pPr>
              <w:jc w:val="center"/>
              <w:rPr/>
            </w:pPr>
            <m:oMath>
              <m:sSub>
                <m:sSubPr>
                  <m:ctrlPr>
                    <w:rPr/>
                  </m:ctrlPr>
                </m:sSubPr>
                <m:e>
                  <m:r>
                    <w:rPr/>
                    <m:t xml:space="preserve">g</m:t>
                  </m:r>
                </m:e>
                <m:sub>
                  <m:r>
                    <w:rPr/>
                    <m:t xml:space="preserve">ATMOS</m:t>
                  </m:r>
                </m:sub>
              </m:sSub>
              <m:r>
                <w:rPr/>
                <m:t xml:space="preserve">=0.847-9.9</m:t>
              </m:r>
              <m:r>
                <w:rPr/>
                <m:t>×</m:t>
              </m:r>
              <m:sSup>
                <m:sSupPr>
                  <m:ctrlPr>
                    <w:rPr/>
                  </m:ctrlPr>
                </m:sSupPr>
                <m:e>
                  <m:r>
                    <w:rPr/>
                    <m:t xml:space="preserve">10</m:t>
                  </m:r>
                </m:e>
                <m:sup>
                  <m:r>
                    <w:rPr/>
                    <m:t xml:space="preserve">-5</m:t>
                  </m:r>
                </m:sup>
              </m:sSup>
              <m:r>
                <w:rPr/>
                <m:t xml:space="preserve">h+3.56</m:t>
              </m:r>
              <m:r>
                <w:rPr/>
                <m:t>×</m:t>
              </m:r>
              <m:sSup>
                <m:sSupPr>
                  <m:ctrlPr>
                    <w:rPr/>
                  </m:ctrlPr>
                </m:sSupPr>
                <m:e>
                  <m:r>
                    <w:rPr/>
                    <m:t xml:space="preserve">10</m:t>
                  </m:r>
                </m:e>
                <m:sup>
                  <m:r>
                    <w:rPr/>
                    <m:t xml:space="preserve">-9</m:t>
                  </m:r>
                </m:sup>
              </m:sSup>
              <m:sSup>
                <m:sSupPr>
                  <m:ctrlPr>
                    <w:rPr/>
                  </m:ctrlPr>
                </m:sSupPr>
                <m:e>
                  <m:r>
                    <w:rPr/>
                    <m:t xml:space="preserve">h</m:t>
                  </m:r>
                </m:e>
                <m:sup>
                  <m:r>
                    <w:rPr/>
                    <m:t xml:space="preserve">2</m:t>
                  </m:r>
                </m:sup>
              </m:sSup>
            </m:oMath>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rPr/>
            </w:pPr>
            <w:r w:rsidDel="00000000" w:rsidR="00000000" w:rsidRPr="00000000">
              <w:rPr>
                <w:rtl w:val="0"/>
              </w:rPr>
              <w:t xml:space="preserve">(5)</w:t>
            </w:r>
          </w:p>
        </w:tc>
      </w:tr>
    </w:tbl>
    <w:p w:rsidR="00000000" w:rsidDel="00000000" w:rsidP="00000000" w:rsidRDefault="00000000" w:rsidRPr="00000000" w14:paraId="000000A2">
      <w:pPr>
        <w:jc w:val="left"/>
        <w:rPr/>
      </w:pPr>
      <w:r w:rsidDel="00000000" w:rsidR="00000000" w:rsidRPr="00000000">
        <w:rPr>
          <w:rtl w:val="0"/>
        </w:rPr>
        <w:t xml:space="preserve">where </w:t>
      </w:r>
      <w:r w:rsidDel="00000000" w:rsidR="00000000" w:rsidRPr="00000000">
        <w:rPr>
          <w:i w:val="1"/>
          <w:rtl w:val="0"/>
        </w:rPr>
        <w:t xml:space="preserve">h</w:t>
      </w:r>
      <w:r w:rsidDel="00000000" w:rsidR="00000000" w:rsidRPr="00000000">
        <w:rPr>
          <w:rtl w:val="0"/>
        </w:rPr>
        <w:t xml:space="preserve"> is the station height with respect to the reference ellipsoid in m.</w:t>
      </w:r>
    </w:p>
    <w:p w:rsidR="00000000" w:rsidDel="00000000" w:rsidP="00000000" w:rsidRDefault="00000000" w:rsidRPr="00000000" w14:paraId="000000A3">
      <w:pPr>
        <w:pStyle w:val="Heading2"/>
        <w:rPr/>
      </w:pPr>
      <w:bookmarkStart w:colFirst="0" w:colLast="0" w:name="_3xs9fy7rwk0s" w:id="23"/>
      <w:bookmarkEnd w:id="23"/>
      <w:r w:rsidDel="00000000" w:rsidR="00000000" w:rsidRPr="00000000">
        <w:rPr>
          <w:rtl w:val="0"/>
        </w:rPr>
        <w:t xml:space="preserve">Free-Air</w:t>
      </w:r>
    </w:p>
    <w:p w:rsidR="00000000" w:rsidDel="00000000" w:rsidP="00000000" w:rsidRDefault="00000000" w:rsidRPr="00000000" w14:paraId="000000A4">
      <w:pPr>
        <w:jc w:val="both"/>
        <w:rPr/>
      </w:pPr>
      <w:r w:rsidDel="00000000" w:rsidR="00000000" w:rsidRPr="00000000">
        <w:rPr>
          <w:rtl w:val="0"/>
        </w:rPr>
        <w:t xml:space="preserve">To remove the effects of elevation on gravity data caused by the sensor's height from a reference level, the GRS80 ellipsoid in this case, free-air correction </w:t>
      </w:r>
      <w:r w:rsidDel="00000000" w:rsidR="00000000" w:rsidRPr="00000000">
        <w:rPr>
          <w:i w:val="1"/>
          <w:rtl w:val="0"/>
        </w:rPr>
        <w:t xml:space="preserve">g</w:t>
      </w:r>
      <w:r w:rsidDel="00000000" w:rsidR="00000000" w:rsidRPr="00000000">
        <w:rPr>
          <w:i w:val="1"/>
          <w:vertAlign w:val="subscript"/>
          <w:rtl w:val="0"/>
        </w:rPr>
        <w:t xml:space="preserve">FAC</w:t>
      </w:r>
      <w:r w:rsidDel="00000000" w:rsidR="00000000" w:rsidRPr="00000000">
        <w:rPr>
          <w:rtl w:val="0"/>
        </w:rPr>
        <w:t xml:space="preserve"> was calculated using the following formula:</w:t>
      </w:r>
    </w:p>
    <w:tbl>
      <w:tblPr>
        <w:tblStyle w:val="Table7"/>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gridCol w:w="720"/>
        <w:tblGridChange w:id="0">
          <w:tblGrid>
            <w:gridCol w:w="9105"/>
            <w:gridCol w:w="7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5">
            <w:pPr>
              <w:jc w:val="center"/>
              <w:rPr/>
            </w:pPr>
            <m:oMath>
              <m:sSub>
                <m:sSubPr>
                  <m:ctrlPr>
                    <w:rPr/>
                  </m:ctrlPr>
                </m:sSubPr>
                <m:e>
                  <m:r>
                    <w:rPr/>
                    <m:t xml:space="preserve">g</m:t>
                  </m:r>
                </m:e>
                <m:sub>
                  <m:r>
                    <w:rPr/>
                    <m:t xml:space="preserve">FAC</m:t>
                  </m:r>
                </m:sub>
              </m:sSub>
              <m:r>
                <w:rPr/>
                <m:t xml:space="preserve">=-(0.3087691-0.0004398</m:t>
              </m:r>
              <m:sSup>
                <m:sSupPr>
                  <m:ctrlPr>
                    <w:rPr/>
                  </m:ctrlPr>
                </m:sSupPr>
                <m:e>
                  <m:r>
                    <w:rPr/>
                    <m:t xml:space="preserve">sin</m:t>
                  </m:r>
                </m:e>
                <m:sup>
                  <m:r>
                    <w:rPr/>
                    <m:t xml:space="preserve">2</m:t>
                  </m:r>
                </m:sup>
              </m:sSup>
              <m:r>
                <w:rPr/>
                <m:t>φ</m:t>
              </m:r>
              <m:r>
                <w:rPr/>
                <m:t xml:space="preserve">)h+7.2125</m:t>
              </m:r>
              <m:r>
                <w:rPr/>
                <m:t>×</m:t>
              </m:r>
              <m:sSup>
                <m:sSupPr>
                  <m:ctrlPr>
                    <w:rPr/>
                  </m:ctrlPr>
                </m:sSupPr>
                <m:e>
                  <m:r>
                    <w:rPr/>
                    <m:t xml:space="preserve">10</m:t>
                  </m:r>
                </m:e>
                <m:sup>
                  <m:r>
                    <w:rPr/>
                    <m:t xml:space="preserve">-8</m:t>
                  </m:r>
                </m:sup>
              </m:sSup>
              <m:sSup>
                <m:sSupPr>
                  <m:ctrlPr>
                    <w:rPr/>
                  </m:ctrlPr>
                </m:sSupPr>
                <m:e>
                  <m:r>
                    <w:rPr/>
                    <m:t xml:space="preserve">h</m:t>
                  </m:r>
                </m:e>
                <m:sup>
                  <m:r>
                    <w:rPr/>
                    <m:t xml:space="preserve">2</m:t>
                  </m:r>
                </m:sup>
              </m:sSup>
            </m:oMath>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rPr/>
            </w:pPr>
            <w:r w:rsidDel="00000000" w:rsidR="00000000" w:rsidRPr="00000000">
              <w:rPr>
                <w:rtl w:val="0"/>
              </w:rPr>
              <w:t xml:space="preserve">(6)</w:t>
            </w:r>
          </w:p>
        </w:tc>
      </w:tr>
    </w:tbl>
    <w:p w:rsidR="00000000" w:rsidDel="00000000" w:rsidP="00000000" w:rsidRDefault="00000000" w:rsidRPr="00000000" w14:paraId="000000A7">
      <w:pPr>
        <w:rPr/>
      </w:pPr>
      <w:r w:rsidDel="00000000" w:rsidR="00000000" w:rsidRPr="00000000">
        <w:rPr>
          <w:rtl w:val="0"/>
        </w:rPr>
        <w:t xml:space="preserve">where </w:t>
      </w:r>
      <w:r w:rsidDel="00000000" w:rsidR="00000000" w:rsidRPr="00000000">
        <w:rPr>
          <w:i w:val="1"/>
          <w:rtl w:val="0"/>
        </w:rPr>
        <w:t xml:space="preserve">φ</w:t>
      </w:r>
      <w:r w:rsidDel="00000000" w:rsidR="00000000" w:rsidRPr="00000000">
        <w:rPr>
          <w:rtl w:val="0"/>
        </w:rPr>
        <w:t xml:space="preserve"> is the latitude in degrees and </w:t>
      </w:r>
      <w:r w:rsidDel="00000000" w:rsidR="00000000" w:rsidRPr="00000000">
        <w:rPr>
          <w:i w:val="1"/>
          <w:rtl w:val="0"/>
        </w:rPr>
        <w:t xml:space="preserve">h</w:t>
      </w:r>
      <w:r w:rsidDel="00000000" w:rsidR="00000000" w:rsidRPr="00000000">
        <w:rPr>
          <w:rtl w:val="0"/>
        </w:rPr>
        <w:t xml:space="preserve"> is the </w:t>
      </w:r>
      <w:r w:rsidDel="00000000" w:rsidR="00000000" w:rsidRPr="00000000">
        <w:rPr>
          <w:rtl w:val="0"/>
        </w:rPr>
        <w:t xml:space="preserve">station height</w:t>
      </w:r>
      <w:r w:rsidDel="00000000" w:rsidR="00000000" w:rsidRPr="00000000">
        <w:rPr>
          <w:rtl w:val="0"/>
        </w:rPr>
        <w:t xml:space="preserve"> with respect to the reference ellipsoid in m. </w:t>
      </w:r>
    </w:p>
    <w:p w:rsidR="00000000" w:rsidDel="00000000" w:rsidP="00000000" w:rsidRDefault="00000000" w:rsidRPr="00000000" w14:paraId="000000A8">
      <w:pPr>
        <w:pStyle w:val="Heading2"/>
        <w:rPr/>
      </w:pPr>
      <w:bookmarkStart w:colFirst="0" w:colLast="0" w:name="_du166jqcc6jf" w:id="24"/>
      <w:bookmarkEnd w:id="24"/>
      <w:r w:rsidDel="00000000" w:rsidR="00000000" w:rsidRPr="00000000">
        <w:rPr>
          <w:rtl w:val="0"/>
        </w:rPr>
        <w:t xml:space="preserve">Tidal</w:t>
      </w:r>
    </w:p>
    <w:p w:rsidR="00000000" w:rsidDel="00000000" w:rsidP="00000000" w:rsidRDefault="00000000" w:rsidRPr="00000000" w14:paraId="000000A9">
      <w:pPr>
        <w:jc w:val="both"/>
        <w:rPr/>
      </w:pPr>
      <w:r w:rsidDel="00000000" w:rsidR="00000000" w:rsidRPr="00000000">
        <w:rPr>
          <w:rtl w:val="0"/>
        </w:rPr>
        <w:t xml:space="preserve">The gravitational effects of the moon and the sun result in variations of up to 100s of µGal in gravity. A tidal correction </w:t>
      </w:r>
      <w:r w:rsidDel="00000000" w:rsidR="00000000" w:rsidRPr="00000000">
        <w:rPr>
          <w:i w:val="1"/>
          <w:rtl w:val="0"/>
        </w:rPr>
        <w:t xml:space="preserve">g</w:t>
      </w:r>
      <w:r w:rsidDel="00000000" w:rsidR="00000000" w:rsidRPr="00000000">
        <w:rPr>
          <w:i w:val="1"/>
          <w:vertAlign w:val="subscript"/>
          <w:rtl w:val="0"/>
        </w:rPr>
        <w:t xml:space="preserve">TIDE</w:t>
      </w:r>
      <w:r w:rsidDel="00000000" w:rsidR="00000000" w:rsidRPr="00000000">
        <w:rPr>
          <w:rtl w:val="0"/>
        </w:rPr>
        <w:t xml:space="preserve"> was applied using a tidal prediction model to remove these effects [4].</w:t>
      </w:r>
    </w:p>
    <w:p w:rsidR="00000000" w:rsidDel="00000000" w:rsidP="00000000" w:rsidRDefault="00000000" w:rsidRPr="00000000" w14:paraId="000000AA">
      <w:pPr>
        <w:pStyle w:val="Heading2"/>
        <w:rPr/>
      </w:pPr>
      <w:bookmarkStart w:colFirst="0" w:colLast="0" w:name="_4jekzxonkweg" w:id="25"/>
      <w:bookmarkEnd w:id="25"/>
      <w:r w:rsidDel="00000000" w:rsidR="00000000" w:rsidRPr="00000000">
        <w:rPr>
          <w:rtl w:val="0"/>
        </w:rPr>
        <w:t xml:space="preserve">Bullard A (Bouguer Slab)</w:t>
      </w:r>
    </w:p>
    <w:p w:rsidR="00000000" w:rsidDel="00000000" w:rsidP="00000000" w:rsidRDefault="00000000" w:rsidRPr="00000000" w14:paraId="000000AB">
      <w:pPr>
        <w:jc w:val="both"/>
        <w:rPr/>
      </w:pPr>
      <w:r w:rsidDel="00000000" w:rsidR="00000000" w:rsidRPr="00000000">
        <w:rPr>
          <w:rtl w:val="0"/>
        </w:rPr>
        <w:t xml:space="preserve">To correct for the attraction of material between the measurement point and infinity, Bullard A </w:t>
      </w:r>
      <w:r w:rsidDel="00000000" w:rsidR="00000000" w:rsidRPr="00000000">
        <w:rPr>
          <w:i w:val="1"/>
          <w:rtl w:val="0"/>
        </w:rPr>
        <w:t xml:space="preserve">g</w:t>
      </w:r>
      <w:r w:rsidDel="00000000" w:rsidR="00000000" w:rsidRPr="00000000">
        <w:rPr>
          <w:i w:val="1"/>
          <w:vertAlign w:val="subscript"/>
          <w:rtl w:val="0"/>
        </w:rPr>
        <w:t xml:space="preserve">BULLARD_A</w:t>
      </w:r>
      <w:r w:rsidDel="00000000" w:rsidR="00000000" w:rsidRPr="00000000">
        <w:rPr>
          <w:rtl w:val="0"/>
        </w:rPr>
        <w:t xml:space="preserve"> assumes a horizontal slab of uniform density extending to infinity beneath the measurement point and was calculated using the following formula:</w:t>
      </w:r>
    </w:p>
    <w:tbl>
      <w:tblPr>
        <w:tblStyle w:val="Table8"/>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gridCol w:w="720"/>
        <w:tblGridChange w:id="0">
          <w:tblGrid>
            <w:gridCol w:w="9105"/>
            <w:gridCol w:w="7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C">
            <w:pPr>
              <w:jc w:val="center"/>
              <w:rPr/>
            </w:pPr>
            <m:oMath>
              <m:sSub>
                <m:sSubPr>
                  <m:ctrlPr>
                    <w:rPr/>
                  </m:ctrlPr>
                </m:sSubPr>
                <m:e>
                  <m:r>
                    <w:rPr/>
                    <m:t xml:space="preserve">g</m:t>
                  </m:r>
                </m:e>
                <m:sub>
                  <m:r>
                    <w:rPr/>
                    <m:t xml:space="preserve">BULLARD_A</m:t>
                  </m:r>
                </m:sub>
              </m:sSub>
              <m:r>
                <w:rPr/>
                <m:t xml:space="preserve">=2</m:t>
              </m:r>
              <m:r>
                <w:rPr/>
                <m:t>π</m:t>
              </m:r>
              <m:r>
                <w:rPr/>
                <m:t>×</m:t>
              </m:r>
              <m:sSup>
                <m:sSupPr>
                  <m:ctrlPr>
                    <w:rPr/>
                  </m:ctrlPr>
                </m:sSupPr>
                <m:e>
                  <m:r>
                    <w:rPr/>
                    <m:t xml:space="preserve">10</m:t>
                  </m:r>
                </m:e>
                <m:sup>
                  <m:r>
                    <w:rPr/>
                    <m:t xml:space="preserve">8</m:t>
                  </m:r>
                </m:sup>
              </m:sSup>
              <m:r>
                <w:rPr/>
                <m:t xml:space="preserve">G</m:t>
              </m:r>
              <m:r>
                <w:rPr/>
                <m:t>ρ</m:t>
              </m:r>
              <m:r>
                <w:rPr/>
                <m:t xml:space="preserve">h</m:t>
              </m:r>
            </m:oMath>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rPr/>
            </w:pPr>
            <w:r w:rsidDel="00000000" w:rsidR="00000000" w:rsidRPr="00000000">
              <w:rPr>
                <w:rtl w:val="0"/>
              </w:rPr>
              <w:t xml:space="preserve">(7)</w:t>
            </w:r>
          </w:p>
        </w:tc>
      </w:tr>
    </w:tbl>
    <w:p w:rsidR="00000000" w:rsidDel="00000000" w:rsidP="00000000" w:rsidRDefault="00000000" w:rsidRPr="00000000" w14:paraId="000000AE">
      <w:pPr>
        <w:jc w:val="both"/>
        <w:rPr>
          <w:sz w:val="24"/>
          <w:szCs w:val="24"/>
        </w:rPr>
      </w:pPr>
      <w:r w:rsidDel="00000000" w:rsidR="00000000" w:rsidRPr="00000000">
        <w:rPr>
          <w:rtl w:val="0"/>
        </w:rPr>
        <w:t xml:space="preserve">where </w:t>
      </w:r>
      <w:r w:rsidDel="00000000" w:rsidR="00000000" w:rsidRPr="00000000">
        <w:rPr>
          <w:i w:val="1"/>
          <w:sz w:val="24"/>
          <w:szCs w:val="24"/>
          <w:rtl w:val="0"/>
        </w:rPr>
        <w:t xml:space="preserve">h</w:t>
      </w:r>
      <w:r w:rsidDel="00000000" w:rsidR="00000000" w:rsidRPr="00000000">
        <w:rPr>
          <w:sz w:val="24"/>
          <w:szCs w:val="24"/>
          <w:rtl w:val="0"/>
        </w:rPr>
        <w:t xml:space="preserve"> is the station height in m,</w:t>
      </w:r>
      <w:r w:rsidDel="00000000" w:rsidR="00000000" w:rsidRPr="00000000">
        <w:rPr>
          <w:rtl w:val="0"/>
        </w:rPr>
        <w:t xml:space="preserve"> </w:t>
      </w:r>
      <w:r w:rsidDel="00000000" w:rsidR="00000000" w:rsidRPr="00000000">
        <w:rPr>
          <w:i w:val="1"/>
          <w:sz w:val="24"/>
          <w:szCs w:val="24"/>
          <w:rtl w:val="0"/>
        </w:rPr>
        <w:t xml:space="preserve">ρ</w:t>
      </w:r>
      <w:r w:rsidDel="00000000" w:rsidR="00000000" w:rsidRPr="00000000">
        <w:rPr>
          <w:sz w:val="24"/>
          <w:szCs w:val="24"/>
          <w:rtl w:val="0"/>
        </w:rPr>
        <w:t xml:space="preserve"> is density in </w:t>
      </w:r>
      <w:r w:rsidDel="00000000" w:rsidR="00000000" w:rsidRPr="00000000">
        <w:rPr>
          <w:sz w:val="24"/>
          <w:szCs w:val="24"/>
          <w:rtl w:val="0"/>
        </w:rPr>
        <w:t xml:space="preserve">g/</w:t>
      </w:r>
      <w:r w:rsidDel="00000000" w:rsidR="00000000" w:rsidRPr="00000000">
        <w:rPr>
          <w:rtl w:val="0"/>
        </w:rPr>
        <w:t xml:space="preserve">cm</w:t>
      </w:r>
      <w:r w:rsidDel="00000000" w:rsidR="00000000" w:rsidRPr="00000000">
        <w:rPr>
          <w:sz w:val="24"/>
          <w:szCs w:val="24"/>
          <w:vertAlign w:val="superscript"/>
          <w:rtl w:val="0"/>
        </w:rPr>
        <w:t xml:space="preserve">3</w:t>
      </w:r>
      <w:r w:rsidDel="00000000" w:rsidR="00000000" w:rsidRPr="00000000">
        <w:rPr>
          <w:rtl w:val="0"/>
        </w:rPr>
        <w:t xml:space="preserve"> equal to 2.67,</w:t>
      </w:r>
      <w:r w:rsidDel="00000000" w:rsidR="00000000" w:rsidRPr="00000000">
        <w:rPr>
          <w:rtl w:val="0"/>
        </w:rPr>
        <w:t xml:space="preserve"> and </w:t>
      </w:r>
      <w:r w:rsidDel="00000000" w:rsidR="00000000" w:rsidRPr="00000000">
        <w:rPr>
          <w:i w:val="1"/>
          <w:rtl w:val="0"/>
        </w:rPr>
        <w:t xml:space="preserve">G</w:t>
      </w:r>
      <w:r w:rsidDel="00000000" w:rsidR="00000000" w:rsidRPr="00000000">
        <w:rPr>
          <w:rtl w:val="0"/>
        </w:rPr>
        <w:t xml:space="preserve"> is the gravitational constant in m</w:t>
      </w:r>
      <w:r w:rsidDel="00000000" w:rsidR="00000000" w:rsidRPr="00000000">
        <w:rPr>
          <w:sz w:val="24"/>
          <w:szCs w:val="24"/>
          <w:vertAlign w:val="superscript"/>
          <w:rtl w:val="0"/>
        </w:rPr>
        <w:t xml:space="preserve">3</w:t>
      </w:r>
      <w:r w:rsidDel="00000000" w:rsidR="00000000" w:rsidRPr="00000000">
        <w:rPr>
          <w:sz w:val="24"/>
          <w:szCs w:val="24"/>
          <w:rtl w:val="0"/>
        </w:rPr>
        <w:t xml:space="preserve">·</w:t>
      </w:r>
      <w:r w:rsidDel="00000000" w:rsidR="00000000" w:rsidRPr="00000000">
        <w:rPr>
          <w:rtl w:val="0"/>
        </w:rPr>
        <w:t xml:space="preserve">kg</w:t>
      </w:r>
      <w:r w:rsidDel="00000000" w:rsidR="00000000" w:rsidRPr="00000000">
        <w:rPr>
          <w:sz w:val="24"/>
          <w:szCs w:val="24"/>
          <w:vertAlign w:val="superscript"/>
          <w:rtl w:val="0"/>
        </w:rPr>
        <w:t xml:space="preserve">-1</w:t>
      </w:r>
      <w:r w:rsidDel="00000000" w:rsidR="00000000" w:rsidRPr="00000000">
        <w:rPr>
          <w:sz w:val="24"/>
          <w:szCs w:val="24"/>
          <w:rtl w:val="0"/>
        </w:rPr>
        <w:t xml:space="preserve">·</w:t>
      </w:r>
      <w:r w:rsidDel="00000000" w:rsidR="00000000" w:rsidRPr="00000000">
        <w:rPr>
          <w:rtl w:val="0"/>
        </w:rPr>
        <w:t xml:space="preserve">s</w:t>
      </w:r>
      <w:r w:rsidDel="00000000" w:rsidR="00000000" w:rsidRPr="00000000">
        <w:rPr>
          <w:sz w:val="24"/>
          <w:szCs w:val="24"/>
          <w:vertAlign w:val="superscript"/>
          <w:rtl w:val="0"/>
        </w:rPr>
        <w:t xml:space="preserve">-2</w:t>
      </w:r>
      <w:r w:rsidDel="00000000" w:rsidR="00000000" w:rsidRPr="00000000">
        <w:rPr>
          <w:sz w:val="24"/>
          <w:szCs w:val="24"/>
          <w:rtl w:val="0"/>
        </w:rPr>
        <w:t xml:space="preserve">.</w:t>
      </w:r>
    </w:p>
    <w:p w:rsidR="00000000" w:rsidDel="00000000" w:rsidP="00000000" w:rsidRDefault="00000000" w:rsidRPr="00000000" w14:paraId="000000AF">
      <w:pPr>
        <w:pStyle w:val="Heading2"/>
        <w:rPr/>
      </w:pPr>
      <w:bookmarkStart w:colFirst="0" w:colLast="0" w:name="_b3milt85l34w" w:id="26"/>
      <w:bookmarkEnd w:id="26"/>
      <w:r w:rsidDel="00000000" w:rsidR="00000000" w:rsidRPr="00000000">
        <w:rPr>
          <w:rtl w:val="0"/>
        </w:rPr>
        <w:t xml:space="preserve">Bullard B (Spherical Cap)</w:t>
      </w:r>
    </w:p>
    <w:p w:rsidR="00000000" w:rsidDel="00000000" w:rsidP="00000000" w:rsidRDefault="00000000" w:rsidRPr="00000000" w14:paraId="000000B0">
      <w:pPr>
        <w:jc w:val="both"/>
        <w:rPr/>
      </w:pPr>
      <w:r w:rsidDel="00000000" w:rsidR="00000000" w:rsidRPr="00000000">
        <w:rPr>
          <w:rtl w:val="0"/>
        </w:rPr>
        <w:t xml:space="preserve">To correct for the attraction of material between the measurement point and the horizon, Bullard B </w:t>
      </w:r>
      <w:r w:rsidDel="00000000" w:rsidR="00000000" w:rsidRPr="00000000">
        <w:rPr>
          <w:i w:val="1"/>
          <w:rtl w:val="0"/>
        </w:rPr>
        <w:t xml:space="preserve">g</w:t>
      </w:r>
      <w:r w:rsidDel="00000000" w:rsidR="00000000" w:rsidRPr="00000000">
        <w:rPr>
          <w:i w:val="1"/>
          <w:vertAlign w:val="subscript"/>
          <w:rtl w:val="0"/>
        </w:rPr>
        <w:t xml:space="preserve">BULLARD_B</w:t>
      </w:r>
      <w:r w:rsidDel="00000000" w:rsidR="00000000" w:rsidRPr="00000000">
        <w:rPr>
          <w:rtl w:val="0"/>
        </w:rPr>
        <w:t xml:space="preserve"> assumes a spherical cap of uniform density, assumed to be 2.67 </w:t>
      </w:r>
      <w:r w:rsidDel="00000000" w:rsidR="00000000" w:rsidRPr="00000000">
        <w:rPr>
          <w:sz w:val="24"/>
          <w:szCs w:val="24"/>
          <w:rtl w:val="0"/>
        </w:rPr>
        <w:t xml:space="preserve">g/</w:t>
      </w:r>
      <w:r w:rsidDel="00000000" w:rsidR="00000000" w:rsidRPr="00000000">
        <w:rPr>
          <w:rtl w:val="0"/>
        </w:rPr>
        <w:t xml:space="preserve">cm</w:t>
      </w:r>
      <w:r w:rsidDel="00000000" w:rsidR="00000000" w:rsidRPr="00000000">
        <w:rPr>
          <w:sz w:val="24"/>
          <w:szCs w:val="24"/>
          <w:vertAlign w:val="superscript"/>
          <w:rtl w:val="0"/>
        </w:rPr>
        <w:t xml:space="preserve">3</w:t>
      </w:r>
      <w:r w:rsidDel="00000000" w:rsidR="00000000" w:rsidRPr="00000000">
        <w:rPr>
          <w:rtl w:val="0"/>
        </w:rPr>
        <w:t xml:space="preserve"> in this case, below the measurement point [5].</w:t>
      </w:r>
    </w:p>
    <w:p w:rsidR="00000000" w:rsidDel="00000000" w:rsidP="00000000" w:rsidRDefault="00000000" w:rsidRPr="00000000" w14:paraId="000000B1">
      <w:pPr>
        <w:pStyle w:val="Heading2"/>
        <w:jc w:val="both"/>
        <w:rPr/>
      </w:pPr>
      <w:bookmarkStart w:colFirst="0" w:colLast="0" w:name="_lkplr3kwh6zv" w:id="27"/>
      <w:bookmarkEnd w:id="27"/>
      <w:r w:rsidDel="00000000" w:rsidR="00000000" w:rsidRPr="00000000">
        <w:rPr>
          <w:rtl w:val="0"/>
        </w:rPr>
        <w:t xml:space="preserve">Terrain Correction</w:t>
      </w:r>
    </w:p>
    <w:p w:rsidR="00000000" w:rsidDel="00000000" w:rsidP="00000000" w:rsidRDefault="00000000" w:rsidRPr="00000000" w14:paraId="000000B2">
      <w:pPr>
        <w:jc w:val="both"/>
        <w:rPr/>
      </w:pPr>
      <w:r w:rsidDel="00000000" w:rsidR="00000000" w:rsidRPr="00000000">
        <w:rPr>
          <w:rtl w:val="0"/>
        </w:rPr>
        <w:t xml:space="preserve">Topography can cause variations in gravity due to the distribution of mass above and below the gravity sensor. Terrain correction </w:t>
      </w:r>
      <w:r w:rsidDel="00000000" w:rsidR="00000000" w:rsidRPr="00000000">
        <w:rPr>
          <w:i w:val="1"/>
          <w:rtl w:val="0"/>
        </w:rPr>
        <w:t xml:space="preserve">g</w:t>
      </w:r>
      <w:r w:rsidDel="00000000" w:rsidR="00000000" w:rsidRPr="00000000">
        <w:rPr>
          <w:i w:val="1"/>
          <w:vertAlign w:val="subscript"/>
          <w:rtl w:val="0"/>
        </w:rPr>
        <w:t xml:space="preserve">BULLARD_C</w:t>
      </w:r>
      <w:r w:rsidDel="00000000" w:rsidR="00000000" w:rsidRPr="00000000">
        <w:rPr>
          <w:rtl w:val="0"/>
        </w:rPr>
        <w:t xml:space="preserve"> aims to remove the effects of actual topography from the data, which may differ from the topography approximated by the Bouguer slab or spherical Bouguer cap [6]. The SRTM DEM was used with an inner radius of 60 m, outer radius of 22,000 m, and reduction density of 2.67 </w:t>
      </w:r>
      <w:r w:rsidDel="00000000" w:rsidR="00000000" w:rsidRPr="00000000">
        <w:rPr>
          <w:sz w:val="24"/>
          <w:szCs w:val="24"/>
          <w:rtl w:val="0"/>
        </w:rPr>
        <w:t xml:space="preserve">g/</w:t>
      </w:r>
      <w:r w:rsidDel="00000000" w:rsidR="00000000" w:rsidRPr="00000000">
        <w:rPr>
          <w:rtl w:val="0"/>
        </w:rPr>
        <w:t xml:space="preserve">cm</w:t>
      </w:r>
      <w:r w:rsidDel="00000000" w:rsidR="00000000" w:rsidRPr="00000000">
        <w:rPr>
          <w:sz w:val="24"/>
          <w:szCs w:val="24"/>
          <w:vertAlign w:val="superscript"/>
          <w:rtl w:val="0"/>
        </w:rPr>
        <w:t xml:space="preserve">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2"/>
        </w:numPr>
        <w:ind w:left="720" w:hanging="360"/>
        <w:jc w:val="both"/>
        <w:rPr>
          <w:u w:val="none"/>
        </w:rPr>
      </w:pPr>
      <w:bookmarkStart w:colFirst="0" w:colLast="0" w:name="_5elif42dzz42" w:id="28"/>
      <w:bookmarkEnd w:id="28"/>
      <w:r w:rsidDel="00000000" w:rsidR="00000000" w:rsidRPr="00000000">
        <w:rPr>
          <w:rtl w:val="0"/>
        </w:rPr>
        <w:t xml:space="preserve">Results and Interpretation</w:t>
      </w:r>
    </w:p>
    <w:p w:rsidR="00000000" w:rsidDel="00000000" w:rsidP="00000000" w:rsidRDefault="00000000" w:rsidRPr="00000000" w14:paraId="000000B5">
      <w:pPr>
        <w:jc w:val="both"/>
        <w:rPr/>
      </w:pPr>
      <w:r w:rsidDel="00000000" w:rsidR="00000000" w:rsidRPr="00000000">
        <w:rPr>
          <w:rtl w:val="0"/>
        </w:rPr>
        <w:t xml:space="preserve">The geophysics team in Atomionics was in charge of conducting data processing and compilation</w:t>
      </w:r>
      <w:r w:rsidDel="00000000" w:rsidR="00000000" w:rsidRPr="00000000">
        <w:rPr>
          <w:rtl w:val="0"/>
        </w:rPr>
        <w:t xml:space="preserve">, which were plotted with a grid size of around 170 m using Surfer</w:t>
      </w:r>
      <w:r w:rsidDel="00000000" w:rsidR="00000000" w:rsidRPr="00000000">
        <w:rPr>
          <w:vertAlign w:val="superscript"/>
        </w:rPr>
        <w:footnoteReference w:customMarkFollows="0" w:id="2"/>
      </w:r>
      <w:r w:rsidDel="00000000" w:rsidR="00000000" w:rsidRPr="00000000">
        <w:rPr>
          <w:rtl w:val="0"/>
        </w:rPr>
        <w:t xml:space="preserve">. All the plots in this section are in MGA Zone 54 projected CRS. </w:t>
      </w:r>
    </w:p>
    <w:p w:rsidR="00000000" w:rsidDel="00000000" w:rsidP="00000000" w:rsidRDefault="00000000" w:rsidRPr="00000000" w14:paraId="000000B6">
      <w:pPr>
        <w:pStyle w:val="Heading2"/>
        <w:jc w:val="both"/>
        <w:rPr/>
      </w:pPr>
      <w:bookmarkStart w:colFirst="0" w:colLast="0" w:name="_nvolyjafz3uv" w:id="29"/>
      <w:bookmarkEnd w:id="29"/>
      <w:r w:rsidDel="00000000" w:rsidR="00000000" w:rsidRPr="00000000">
        <w:rPr>
          <w:rtl w:val="0"/>
        </w:rPr>
        <w:t xml:space="preserve">Free-Air Anomaly</w:t>
      </w:r>
    </w:p>
    <w:p w:rsidR="00000000" w:rsidDel="00000000" w:rsidP="00000000" w:rsidRDefault="00000000" w:rsidRPr="00000000" w14:paraId="000000B7">
      <w:pPr>
        <w:jc w:val="both"/>
        <w:rPr/>
      </w:pPr>
      <w:r w:rsidDel="00000000" w:rsidR="00000000" w:rsidRPr="00000000">
        <w:rPr>
          <w:rtl w:val="0"/>
        </w:rPr>
        <w:t xml:space="preserve">Free-air anomaly </w:t>
      </w:r>
      <w:r w:rsidDel="00000000" w:rsidR="00000000" w:rsidRPr="00000000">
        <w:rPr>
          <w:i w:val="1"/>
          <w:rtl w:val="0"/>
        </w:rPr>
        <w:t xml:space="preserve">g</w:t>
      </w:r>
      <w:r w:rsidDel="00000000" w:rsidR="00000000" w:rsidRPr="00000000">
        <w:rPr>
          <w:i w:val="1"/>
          <w:vertAlign w:val="subscript"/>
          <w:rtl w:val="0"/>
        </w:rPr>
        <w:t xml:space="preserve">FA</w:t>
      </w:r>
      <w:r w:rsidDel="00000000" w:rsidR="00000000" w:rsidRPr="00000000">
        <w:rPr>
          <w:rtl w:val="0"/>
        </w:rPr>
        <w:t xml:space="preserve"> was calculated by correcting for theoretical gravity, atmospheric effect, free-air, and tidal using the following formula:</w:t>
      </w:r>
    </w:p>
    <w:tbl>
      <w:tblPr>
        <w:tblStyle w:val="Table9"/>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gridCol w:w="720"/>
        <w:tblGridChange w:id="0">
          <w:tblGrid>
            <w:gridCol w:w="9105"/>
            <w:gridCol w:w="7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jc w:val="center"/>
              <w:rPr/>
            </w:pPr>
            <m:oMath>
              <m:sSub>
                <m:sSubPr>
                  <m:ctrlPr>
                    <w:rPr/>
                  </m:ctrlPr>
                </m:sSubPr>
                <m:e>
                  <m:r>
                    <w:rPr/>
                    <m:t xml:space="preserve">g</m:t>
                  </m:r>
                </m:e>
                <m:sub>
                  <m:r>
                    <w:rPr/>
                    <m:t xml:space="preserve">FA</m:t>
                  </m:r>
                </m:sub>
              </m:sSub>
              <m:r>
                <w:rPr/>
                <m:t xml:space="preserve">=</m:t>
              </m:r>
              <m:sSub>
                <m:sSubPr>
                  <m:ctrlPr>
                    <w:rPr/>
                  </m:ctrlPr>
                </m:sSubPr>
                <m:e>
                  <m:r>
                    <w:rPr/>
                    <m:t xml:space="preserve">g</m:t>
                  </m:r>
                </m:e>
                <m:sub>
                  <m:r>
                    <w:rPr/>
                    <m:t xml:space="preserve">OBS</m:t>
                  </m:r>
                </m:sub>
              </m:sSub>
              <m:r>
                <w:rPr/>
                <m:t xml:space="preserve">-</m:t>
              </m:r>
              <m:sSub>
                <m:sSubPr>
                  <m:ctrlPr>
                    <w:rPr/>
                  </m:ctrlPr>
                </m:sSubPr>
                <m:e>
                  <m:r>
                    <w:rPr/>
                    <m:t xml:space="preserve">g</m:t>
                  </m:r>
                </m:e>
                <m:sub>
                  <m:r>
                    <w:rPr/>
                    <m:t xml:space="preserve">THEO</m:t>
                  </m:r>
                </m:sub>
              </m:sSub>
              <m:r>
                <w:rPr/>
                <m:t xml:space="preserve">+</m:t>
              </m:r>
              <m:sSub>
                <m:sSubPr>
                  <m:ctrlPr>
                    <w:rPr/>
                  </m:ctrlPr>
                </m:sSubPr>
                <m:e>
                  <m:r>
                    <w:rPr/>
                    <m:t xml:space="preserve">g</m:t>
                  </m:r>
                </m:e>
                <m:sub>
                  <m:r>
                    <w:rPr/>
                    <m:t xml:space="preserve">ATMOS</m:t>
                  </m:r>
                </m:sub>
              </m:sSub>
              <m:r>
                <w:rPr/>
                <m:t xml:space="preserve">-</m:t>
              </m:r>
              <m:sSub>
                <m:sSubPr>
                  <m:ctrlPr>
                    <w:rPr/>
                  </m:ctrlPr>
                </m:sSubPr>
                <m:e>
                  <m:r>
                    <w:rPr/>
                    <m:t xml:space="preserve">g</m:t>
                  </m:r>
                </m:e>
                <m:sub>
                  <m:r>
                    <w:rPr/>
                    <m:t xml:space="preserve">TIDE</m:t>
                  </m:r>
                </m:sub>
              </m:sSub>
              <m:r>
                <w:rPr/>
                <m:t xml:space="preserve">-</m:t>
              </m:r>
              <m:sSub>
                <m:sSubPr>
                  <m:ctrlPr>
                    <w:rPr/>
                  </m:ctrlPr>
                </m:sSubPr>
                <m:e>
                  <m:r>
                    <w:rPr/>
                    <m:t xml:space="preserve">g</m:t>
                  </m:r>
                </m:e>
                <m:sub>
                  <m:r>
                    <w:rPr/>
                    <m:t xml:space="preserve">FAC</m:t>
                  </m:r>
                </m:sub>
              </m:sSub>
            </m:oMath>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rPr/>
            </w:pPr>
            <w:r w:rsidDel="00000000" w:rsidR="00000000" w:rsidRPr="00000000">
              <w:rPr>
                <w:rtl w:val="0"/>
              </w:rPr>
              <w:t xml:space="preserve">(8)</w:t>
            </w:r>
          </w:p>
        </w:tc>
      </w:tr>
    </w:tbl>
    <w:p w:rsidR="00000000" w:rsidDel="00000000" w:rsidP="00000000" w:rsidRDefault="00000000" w:rsidRPr="00000000" w14:paraId="000000BA">
      <w:pPr>
        <w:jc w:val="both"/>
        <w:rPr/>
      </w:pPr>
      <w:r w:rsidDel="00000000" w:rsidR="00000000" w:rsidRPr="00000000">
        <w:rPr>
          <w:rtl w:val="0"/>
        </w:rPr>
        <w:t xml:space="preserve">where </w:t>
      </w:r>
      <w:r w:rsidDel="00000000" w:rsidR="00000000" w:rsidRPr="00000000">
        <w:rPr>
          <w:i w:val="1"/>
          <w:rtl w:val="0"/>
        </w:rPr>
        <w:t xml:space="preserve">g</w:t>
      </w:r>
      <w:r w:rsidDel="00000000" w:rsidR="00000000" w:rsidRPr="00000000">
        <w:rPr>
          <w:i w:val="1"/>
          <w:vertAlign w:val="subscript"/>
          <w:rtl w:val="0"/>
        </w:rPr>
        <w:t xml:space="preserve">OBS</w:t>
      </w:r>
      <w:r w:rsidDel="00000000" w:rsidR="00000000" w:rsidRPr="00000000">
        <w:rPr>
          <w:i w:val="1"/>
          <w:rtl w:val="0"/>
        </w:rPr>
        <w:t xml:space="preserve"> </w:t>
      </w:r>
      <w:r w:rsidDel="00000000" w:rsidR="00000000" w:rsidRPr="00000000">
        <w:rPr>
          <w:rtl w:val="0"/>
        </w:rPr>
        <w:t xml:space="preserve">is observed gravity, </w:t>
      </w:r>
      <w:r w:rsidDel="00000000" w:rsidR="00000000" w:rsidRPr="00000000">
        <w:rPr>
          <w:i w:val="1"/>
          <w:rtl w:val="0"/>
        </w:rPr>
        <w:t xml:space="preserve">g</w:t>
      </w:r>
      <w:r w:rsidDel="00000000" w:rsidR="00000000" w:rsidRPr="00000000">
        <w:rPr>
          <w:i w:val="1"/>
          <w:vertAlign w:val="subscript"/>
          <w:rtl w:val="0"/>
        </w:rPr>
        <w:t xml:space="preserve">THEO</w:t>
      </w:r>
      <w:r w:rsidDel="00000000" w:rsidR="00000000" w:rsidRPr="00000000">
        <w:rPr>
          <w:i w:val="1"/>
          <w:rtl w:val="0"/>
        </w:rPr>
        <w:t xml:space="preserve"> </w:t>
      </w:r>
      <w:r w:rsidDel="00000000" w:rsidR="00000000" w:rsidRPr="00000000">
        <w:rPr>
          <w:rtl w:val="0"/>
        </w:rPr>
        <w:t xml:space="preserve">is theoretical gravity (re: Eq. 4), </w:t>
      </w:r>
      <w:r w:rsidDel="00000000" w:rsidR="00000000" w:rsidRPr="00000000">
        <w:rPr>
          <w:i w:val="1"/>
          <w:rtl w:val="0"/>
        </w:rPr>
        <w:t xml:space="preserve">g</w:t>
      </w:r>
      <w:r w:rsidDel="00000000" w:rsidR="00000000" w:rsidRPr="00000000">
        <w:rPr>
          <w:i w:val="1"/>
          <w:vertAlign w:val="subscript"/>
          <w:rtl w:val="0"/>
        </w:rPr>
        <w:t xml:space="preserve">ATMOS</w:t>
      </w:r>
      <w:r w:rsidDel="00000000" w:rsidR="00000000" w:rsidRPr="00000000">
        <w:rPr>
          <w:i w:val="1"/>
          <w:rtl w:val="0"/>
        </w:rPr>
        <w:t xml:space="preserve"> </w:t>
      </w:r>
      <w:r w:rsidDel="00000000" w:rsidR="00000000" w:rsidRPr="00000000">
        <w:rPr>
          <w:rtl w:val="0"/>
        </w:rPr>
        <w:t xml:space="preserve">is atmospheric effect (re: Eq. 5), </w:t>
      </w:r>
      <w:r w:rsidDel="00000000" w:rsidR="00000000" w:rsidRPr="00000000">
        <w:rPr>
          <w:i w:val="1"/>
          <w:rtl w:val="0"/>
        </w:rPr>
        <w:t xml:space="preserve">g</w:t>
      </w:r>
      <w:r w:rsidDel="00000000" w:rsidR="00000000" w:rsidRPr="00000000">
        <w:rPr>
          <w:i w:val="1"/>
          <w:vertAlign w:val="subscript"/>
          <w:rtl w:val="0"/>
        </w:rPr>
        <w:t xml:space="preserve">TIDE</w:t>
      </w:r>
      <w:r w:rsidDel="00000000" w:rsidR="00000000" w:rsidRPr="00000000">
        <w:rPr>
          <w:i w:val="1"/>
          <w:rtl w:val="0"/>
        </w:rPr>
        <w:t xml:space="preserve"> </w:t>
      </w:r>
      <w:r w:rsidDel="00000000" w:rsidR="00000000" w:rsidRPr="00000000">
        <w:rPr>
          <w:rtl w:val="0"/>
        </w:rPr>
        <w:t xml:space="preserve">is tidal correction, and </w:t>
      </w:r>
      <w:r w:rsidDel="00000000" w:rsidR="00000000" w:rsidRPr="00000000">
        <w:rPr>
          <w:i w:val="1"/>
          <w:rtl w:val="0"/>
        </w:rPr>
        <w:t xml:space="preserve">g</w:t>
      </w:r>
      <w:r w:rsidDel="00000000" w:rsidR="00000000" w:rsidRPr="00000000">
        <w:rPr>
          <w:i w:val="1"/>
          <w:vertAlign w:val="subscript"/>
          <w:rtl w:val="0"/>
        </w:rPr>
        <w:t xml:space="preserve">FAC</w:t>
      </w:r>
      <w:r w:rsidDel="00000000" w:rsidR="00000000" w:rsidRPr="00000000">
        <w:rPr>
          <w:i w:val="1"/>
          <w:rtl w:val="0"/>
        </w:rPr>
        <w:t xml:space="preserve"> </w:t>
      </w:r>
      <w:r w:rsidDel="00000000" w:rsidR="00000000" w:rsidRPr="00000000">
        <w:rPr>
          <w:rtl w:val="0"/>
        </w:rPr>
        <w:t xml:space="preserve">is free-air correction (re: Eq. 6). </w:t>
      </w:r>
    </w:p>
    <w:p w:rsidR="00000000" w:rsidDel="00000000" w:rsidP="00000000" w:rsidRDefault="00000000" w:rsidRPr="00000000" w14:paraId="000000BB">
      <w:pPr>
        <w:jc w:val="left"/>
        <w:rPr>
          <w:i w:val="1"/>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drawing>
          <wp:inline distB="114300" distT="114300" distL="114300" distR="114300">
            <wp:extent cx="5943600" cy="44831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i w:val="1"/>
        </w:rPr>
      </w:pPr>
      <w:r w:rsidDel="00000000" w:rsidR="00000000" w:rsidRPr="00000000">
        <w:rPr>
          <w:i w:val="1"/>
          <w:rtl w:val="0"/>
        </w:rPr>
        <w:t xml:space="preserve">Figure 5: Free-Air Anomaly</w:t>
      </w:r>
    </w:p>
    <w:p w:rsidR="00000000" w:rsidDel="00000000" w:rsidP="00000000" w:rsidRDefault="00000000" w:rsidRPr="00000000" w14:paraId="000000BE">
      <w:pPr>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https://newhopegroup.com.au/bridgeport/</w:t>
        </w:r>
      </w:hyperlink>
      <w:r w:rsidDel="00000000" w:rsidR="00000000" w:rsidRPr="00000000">
        <w:rPr>
          <w:rtl w:val="0"/>
        </w:rPr>
      </w:r>
    </w:p>
  </w:footnote>
  <w:footnote w:id="2">
    <w:p w:rsidR="00000000" w:rsidDel="00000000" w:rsidP="00000000" w:rsidRDefault="00000000" w:rsidRPr="00000000" w14:paraId="000000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https://www.goldensoftware.com/products/surfer/</w:t>
        </w:r>
      </w:hyperlink>
      <w:r w:rsidDel="00000000" w:rsidR="00000000" w:rsidRPr="00000000">
        <w:rPr>
          <w:sz w:val="20"/>
          <w:szCs w:val="20"/>
          <w:rtl w:val="0"/>
        </w:rPr>
        <w:t xml:space="preserve"> </w:t>
      </w:r>
    </w:p>
  </w:footnote>
  <w:footnote w:id="1">
    <w:p w:rsidR="00000000" w:rsidDel="00000000" w:rsidP="00000000" w:rsidRDefault="00000000" w:rsidRPr="00000000" w14:paraId="000000C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https://www.qctool.ca/</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newhopegroup.com.au/bridgeport/" TargetMode="External"/><Relationship Id="rId2" Type="http://schemas.openxmlformats.org/officeDocument/2006/relationships/hyperlink" Target="https://www.goldensoftware.com/products/surfer/" TargetMode="External"/><Relationship Id="rId3" Type="http://schemas.openxmlformats.org/officeDocument/2006/relationships/hyperlink" Target="https://www.qctool.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