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columns in the pkl files are as follows: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1: APD data which will give us the normalized population ratio or "fraction" as its called in our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2: CA data / CA+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3: CA-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4: TTL trigger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Concerning column 2/3 CA(Classical Accelerometer data): We have a CA that outputs differential signals to be used for calculating phase difference.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most of the time, we run the two signals through a differential amplifier, which then outputs a single signal into CH B. In this case, our CH C will be unused and hence there is no data in column 3.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some occasions, we do not have the differential amplifier, and have to use CH B and CH C, which gives us data in column 2 and 3. In this case, we have to use column 2 - column 3 (CA+ - CA-) to get the differential signal for phase calculation.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g measurement we have 2x79 runs, 79 for chirp up and 79 for chirp down. We scan the chirp rate at a randomized order, alternating between chirp up and down each time.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3 pkl files contains all the data for 2x79 runs, instead of 1 pkl file for each run. This is so that we can collect as much CA data as possible, even in-between each run.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TTL trigger in the pkl files gives us the ability to sync each experimental run and extract the relevant data that we need.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{}runtime_settings.json file is in each folder. This .json file gives us useful information for each run, such as the range of the picoscope channels, and the chirp scanning randomization order.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APD: Prelim Exploratory Data Analysis: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ravi@atomionics.com</w:t>
        </w:r>
      </w:hyperlink>
      <w:r w:rsidDel="00000000" w:rsidR="00000000" w:rsidRPr="00000000">
        <w:rPr>
          <w:rtl w:val="0"/>
        </w:rPr>
        <w:t xml:space="preserve">Can you please write down the process to normalize the APD values.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have defined Classical_Acc as difference between CA Plus or SRS and CA Minus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data['Classical_Acc'] = data['CA plus or SRS']- data['CA minus']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am getting bimodal distribution: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Similarly I am getting two lumps for APD Values: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301175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011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ravi@atomionics.com</w:t>
        </w:r>
      </w:hyperlink>
      <w:r w:rsidDel="00000000" w:rsidR="00000000" w:rsidRPr="00000000">
        <w:rPr>
          <w:rtl w:val="0"/>
        </w:rPr>
        <w:t xml:space="preserve">Can you please write down the process to normalize the APD values.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APD Small (&lt;240)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32424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242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APD Big (&gt;1400)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644713" cy="325278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713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Most recent data: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Classical Accelerator: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APD: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APD Small:(&lt;500)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APD Big: (&gt;500)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699116" cy="329088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116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ADP  Plot for  first 10,000 rows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ADP  Plot for  first 100,000 rows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1641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16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mailto:ravi@atomionics.com" TargetMode="External"/><Relationship Id="rId22" Type="http://schemas.openxmlformats.org/officeDocument/2006/relationships/image" Target="media/image1.png"/><Relationship Id="rId10" Type="http://schemas.openxmlformats.org/officeDocument/2006/relationships/image" Target="media/image14.png"/><Relationship Id="rId21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hyperlink" Target="mailto:ravi@atomionics.com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