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300"/>
              <w:left w:type="dxa" w:w="400"/>
              <w:bottom w:type="dxa" w:w="300"/>
              <w:right w:type="dxa" w:w="400"/>
            </w:tcMar>
          </w:tcPr>
          <w:p>
            <w:r>
              <w:rPr>
                <w:rFonts w:ascii="Arial" w:cs="Arial" w:eastAsia="Arial" w:hAnsi="Arial"/>
                <w:b/>
                <w:bCs/>
                <w:color w:val="FFFFFF"/>
                <w:sz w:val="38"/>
                <w:szCs w:val="38"/>
              </w:rPr>
              <w:t xml:space="preserve">ArcVault Triage Pipeline — Architecture Write-Up</w:t>
            </w:r>
          </w:p>
          <w:p>
            <w:r>
              <w:rPr>
                <w:rFonts w:ascii="Arial" w:cs="Arial" w:eastAsia="Arial" w:hAnsi="Arial"/>
                <w:color w:val="BDD7EE"/>
                <w:sz w:val="19"/>
                <w:szCs w:val="19"/>
              </w:rPr>
              <w:t xml:space="preserve">Sajed Hamdan  |  AI Engineer Assessment  |  Valsoft / Aspire Software  |  March 2026</w:t>
            </w:r>
          </w:p>
        </w:tc>
      </w:tr>
    </w:tbl>
    <w:p>
      <w:pPr>
        <w:spacing w:before="100" w:after="100"/>
      </w:pPr>
      <w:r>
        <w:t xml:space="preserve"/>
      </w:r>
    </w:p>
    <w:p>
      <w:pPr>
        <w:pBdr>
          <w:bottom w:val="single" w:color="2E75B6" w:sz="6" w:space="3"/>
        </w:pBdr>
        <w:spacing w:before="280" w:after="100"/>
      </w:pPr>
      <w:r>
        <w:rPr>
          <w:rFonts w:ascii="Arial" w:cs="Arial" w:eastAsia="Arial" w:hAnsi="Arial"/>
          <w:b/>
          <w:bCs/>
          <w:color w:val="1E3A5F"/>
          <w:sz w:val="26"/>
          <w:szCs w:val="26"/>
        </w:rPr>
        <w:t xml:space="preserve">1. System Design</w:t>
      </w:r>
    </w:p>
    <w:p>
      <w:pPr>
        <w:spacing w:before="60" w:after="60"/>
      </w:pPr>
      <w:r>
        <w:rPr>
          <w:rFonts w:ascii="Arial" w:cs="Arial" w:eastAsia="Arial" w:hAnsi="Arial"/>
          <w:color w:val="222222"/>
          <w:sz w:val="21"/>
          <w:szCs w:val="21"/>
        </w:rPr>
        <w:t xml:space="preserve">The pipeline is a six-step Python application orchestrated by main.py. Each step lives in its own module, so any component can be tuned or replaced without touching the others. State is held in memory as a single dictionary per message that accumulates fields as it moves through the pipeline — nothing is written to disk or a database mid-run.</w:t>
      </w:r>
    </w:p>
    <w:p>
      <w:pPr>
        <w:spacing w:before="40" w:after="40"/>
      </w:pPr>
      <w:r>
        <w:t xml:space="preserve"/>
      </w:r>
    </w:p>
    <w:p>
      <w:pPr>
        <w:spacing w:before="60" w:after="60"/>
      </w:pPr>
      <w:r>
        <w:rPr>
          <w:rFonts w:ascii="Arial" w:cs="Arial" w:eastAsia="Arial" w:hAnsi="Arial"/>
          <w:color w:val="222222"/>
          <w:sz w:val="21"/>
          <w:szCs w:val="21"/>
        </w:rPr>
        <w:t xml:space="preserve">The flow is linear and sequential: main.py loads sample_inputs.json (Step 1 — Ingestion), calls classifier.py which sends the raw message to the Groq LLM and returns category, priority, and confidence score (Step 2), then calls enricher.py which makes a second LLM call to extract the core issue, identifiers, and urgency signal (Step 3). The result is passed to router.py for a deterministic queue assignment (Step 4), then to escalation.py which checks three rules and overrides the queue if needed (Step 6). Finally summarizer.py generates a human-readable handoff summary and output_writer.py persists the complete record to both a local JSON file and a Google Sheet (Step 5).</w:t>
      </w:r>
    </w:p>
    <w:p>
      <w:pPr>
        <w:spacing w:before="40" w:after="40"/>
      </w:pPr>
      <w:r>
        <w:t xml:space="preserve"/>
      </w:r>
    </w:p>
    <w:p>
      <w:pPr>
        <w:spacing w:before="60" w:after="60"/>
      </w:pPr>
      <w:r>
        <w:rPr>
          <w:rFonts w:ascii="Arial" w:cs="Arial" w:eastAsia="Arial" w:hAnsi="Arial"/>
          <w:color w:val="222222"/>
          <w:sz w:val="21"/>
          <w:szCs w:val="21"/>
        </w:rPr>
        <w:t xml:space="preserve">Two of the three LLM calls — classification and enrichment — are independent and could be parallelised in a future iteration. The summary call depends on both, so it runs last by design.</w:t>
      </w:r>
    </w:p>
    <w:p>
      <w:pPr>
        <w:spacing w:before="80" w:after="80"/>
      </w:pPr>
      <w:r>
        <w:t xml:space="preserve"/>
      </w:r>
    </w:p>
    <w:p>
      <w:pPr>
        <w:pBdr>
          <w:bottom w:val="single" w:color="2E75B6" w:sz="6" w:space="3"/>
        </w:pBdr>
        <w:spacing w:before="280" w:after="100"/>
      </w:pPr>
      <w:r>
        <w:rPr>
          <w:rFonts w:ascii="Arial" w:cs="Arial" w:eastAsia="Arial" w:hAnsi="Arial"/>
          <w:b/>
          <w:bCs/>
          <w:color w:val="1E3A5F"/>
          <w:sz w:val="26"/>
          <w:szCs w:val="26"/>
        </w:rPr>
        <w:t xml:space="preserve">2. Routing Logic</w:t>
      </w:r>
    </w:p>
    <w:p>
      <w:pPr>
        <w:spacing w:before="60" w:after="60"/>
      </w:pPr>
      <w:r>
        <w:rPr>
          <w:rFonts w:ascii="Arial" w:cs="Arial" w:eastAsia="Arial" w:hAnsi="Arial"/>
          <w:color w:val="222222"/>
          <w:sz w:val="21"/>
          <w:szCs w:val="21"/>
        </w:rPr>
        <w:t xml:space="preserve">Routing is a pure lookup table in router.py — no LLM involved. The five categories map as follows: Bug Report and Incident/Outage both route to Engineering; Feature Request routes to Product; Billing Issue routes to Billing; Technical Question routes to IT/Security. Any Unclassified result routes directly to Escalation.</w:t>
      </w:r>
    </w:p>
    <w:p>
      <w:pPr>
        <w:spacing w:before="40" w:after="40"/>
      </w:pPr>
      <w:r>
        <w:t xml:space="preserve"/>
      </w:r>
    </w:p>
    <w:p>
      <w:pPr>
        <w:spacing w:before="60" w:after="60"/>
      </w:pPr>
      <w:r>
        <w:rPr>
          <w:rFonts w:ascii="Arial" w:cs="Arial" w:eastAsia="Arial" w:hAnsi="Arial"/>
          <w:color w:val="222222"/>
          <w:sz w:val="21"/>
          <w:szCs w:val="21"/>
        </w:rPr>
        <w:t xml:space="preserve">I deliberately kept routing as deterministic logic rather than an LLM decision because routing needs to be auditable — a manager should always be able to point to the exact rule that sent a ticket somewhere. The routing table is also the easiest thing to extend: adding a new category means adding one line.</w:t>
      </w:r>
    </w:p>
    <w:p>
      <w:pPr>
        <w:spacing w:before="40" w:after="40"/>
      </w:pPr>
      <w:r>
        <w:t xml:space="preserve"/>
      </w:r>
    </w:p>
    <w:p>
      <w:pPr>
        <w:spacing w:before="60" w:after="60"/>
      </w:pPr>
      <w:r>
        <w:rPr>
          <w:rFonts w:ascii="Arial" w:cs="Arial" w:eastAsia="Arial" w:hAnsi="Arial"/>
          <w:color w:val="222222"/>
          <w:sz w:val="21"/>
          <w:szCs w:val="21"/>
        </w:rPr>
        <w:t xml:space="preserve">One additional rule sits on top of the table: if the model's </w:t>
      </w:r>
      <w:r>
        <w:rPr>
          <w:rFonts w:ascii="Arial" w:cs="Arial" w:eastAsia="Arial" w:hAnsi="Arial"/>
          <w:b/>
          <w:bCs/>
          <w:color w:val="222222"/>
          <w:sz w:val="21"/>
          <w:szCs w:val="21"/>
        </w:rPr>
        <w:t xml:space="preserve">confidence score is below 70%</w:t>
      </w:r>
      <w:r>
        <w:rPr>
          <w:rFonts w:ascii="Arial" w:cs="Arial" w:eastAsia="Arial" w:hAnsi="Arial"/>
          <w:color w:val="222222"/>
          <w:sz w:val="21"/>
          <w:szCs w:val="21"/>
        </w:rPr>
        <w:t xml:space="preserve">, the category assignment is ignored and the message routes to Escalation regardless. A confident wrong classification is better caught at the escalation layer; an uncertain classification should never reach a team queue automatically.</w:t>
      </w:r>
    </w:p>
    <w:p>
      <w:pPr>
        <w:spacing w:before="80" w:after="80"/>
      </w:pPr>
      <w:r>
        <w:t xml:space="preserve"/>
      </w:r>
    </w:p>
    <w:p>
      <w:pPr>
        <w:pBdr>
          <w:bottom w:val="single" w:color="2E75B6" w:sz="6" w:space="3"/>
        </w:pBdr>
        <w:spacing w:before="280" w:after="100"/>
      </w:pPr>
      <w:r>
        <w:rPr>
          <w:rFonts w:ascii="Arial" w:cs="Arial" w:eastAsia="Arial" w:hAnsi="Arial"/>
          <w:b/>
          <w:bCs/>
          <w:color w:val="1E3A5F"/>
          <w:sz w:val="26"/>
          <w:szCs w:val="26"/>
        </w:rPr>
        <w:t xml:space="preserve">3. Escalation Logic</w:t>
      </w:r>
    </w:p>
    <w:p>
      <w:pPr>
        <w:spacing w:before="60" w:after="60"/>
      </w:pPr>
      <w:r>
        <w:rPr>
          <w:rFonts w:ascii="Arial" w:cs="Arial" w:eastAsia="Arial" w:hAnsi="Arial"/>
          <w:color w:val="222222"/>
          <w:sz w:val="21"/>
          <w:szCs w:val="21"/>
        </w:rPr>
        <w:t xml:space="preserve">Escalation fires if any one of three rules is met:</w:t>
      </w:r>
    </w:p>
    <w:p>
      <w:pPr>
        <w:spacing w:before="30" w:after="30"/>
      </w:pPr>
      <w:r>
        <w:t xml:space="preserve"/>
      </w:r>
    </w:p>
    <w:p>
      <w:pPr>
        <w:pStyle w:val="ListParagraph"/>
        <w:numPr>
          <w:ilvl w:val="0"/>
          <w:numId w:val="2"/>
        </w:numPr>
        <w:spacing w:before="50" w:after="50"/>
      </w:pPr>
      <w:r>
        <w:rPr>
          <w:rFonts w:ascii="Arial" w:cs="Arial" w:eastAsia="Arial" w:hAnsi="Arial"/>
          <w:b/>
          <w:bCs/>
          <w:color w:val="222222"/>
          <w:sz w:val="21"/>
          <w:szCs w:val="21"/>
        </w:rPr>
        <w:t xml:space="preserve">Confidence below 70%: </w:t>
      </w:r>
      <w:r>
        <w:rPr>
          <w:rFonts w:ascii="Arial" w:cs="Arial" w:eastAsia="Arial" w:hAnsi="Arial"/>
          <w:color w:val="222222"/>
          <w:sz w:val="21"/>
          <w:szCs w:val="21"/>
        </w:rPr>
        <w:t xml:space="preserve">the model is uncertain; human judgment is required before routing.</w:t>
      </w:r>
    </w:p>
    <w:p>
      <w:pPr>
        <w:pStyle w:val="ListParagraph"/>
        <w:numPr>
          <w:ilvl w:val="0"/>
          <w:numId w:val="2"/>
        </w:numPr>
        <w:spacing w:before="50" w:after="50"/>
      </w:pPr>
      <w:r>
        <w:rPr>
          <w:rFonts w:ascii="Arial" w:cs="Arial" w:eastAsia="Arial" w:hAnsi="Arial"/>
          <w:b/>
          <w:bCs/>
          <w:color w:val="222222"/>
          <w:sz w:val="21"/>
          <w:szCs w:val="21"/>
        </w:rPr>
        <w:t xml:space="preserve">Escalation keywords: </w:t>
      </w:r>
      <w:r>
        <w:rPr>
          <w:rFonts w:ascii="Arial" w:cs="Arial" w:eastAsia="Arial" w:hAnsi="Arial"/>
          <w:color w:val="222222"/>
          <w:sz w:val="21"/>
          <w:szCs w:val="21"/>
        </w:rPr>
        <w:t xml:space="preserve">outage, down for all users, multiple users affected, data loss, cannot access, security breach. Any of these in the raw message triggers immediate escalation regardless of confidence. I made keyword matching intentionally broad — a false positive (escalating something minor) is far cheaper than a false negative (missing a live outage).</w:t>
      </w:r>
    </w:p>
    <w:p>
      <w:pPr>
        <w:pStyle w:val="ListParagraph"/>
        <w:numPr>
          <w:ilvl w:val="0"/>
          <w:numId w:val="2"/>
        </w:numPr>
        <w:spacing w:before="50" w:after="50"/>
      </w:pPr>
      <w:r>
        <w:rPr>
          <w:rFonts w:ascii="Arial" w:cs="Arial" w:eastAsia="Arial" w:hAnsi="Arial"/>
          <w:b/>
          <w:bCs/>
          <w:color w:val="222222"/>
          <w:sz w:val="21"/>
          <w:szCs w:val="21"/>
        </w:rPr>
        <w:t xml:space="preserve">Billing amount above $500: </w:t>
      </w:r>
      <w:r>
        <w:rPr>
          <w:rFonts w:ascii="Arial" w:cs="Arial" w:eastAsia="Arial" w:hAnsi="Arial"/>
          <w:color w:val="222222"/>
          <w:sz w:val="21"/>
          <w:szCs w:val="21"/>
        </w:rPr>
        <w:t xml:space="preserve">extracted via regex from Billing Issue messages. Financial discrepancies of this size carry legal and contractual implications that warrant human review.</w:t>
      </w:r>
    </w:p>
    <w:p>
      <w:pPr>
        <w:spacing w:before="40" w:after="40"/>
      </w:pPr>
      <w:r>
        <w:t xml:space="preserve"/>
      </w:r>
    </w:p>
    <w:p>
      <w:pPr>
        <w:spacing w:before="60" w:after="60"/>
      </w:pPr>
      <w:r>
        <w:rPr>
          <w:rFonts w:ascii="Arial" w:cs="Arial" w:eastAsia="Arial" w:hAnsi="Arial"/>
          <w:color w:val="222222"/>
          <w:sz w:val="21"/>
          <w:szCs w:val="21"/>
        </w:rPr>
        <w:t xml:space="preserve">Messages #3 (invoice discrepancy of $1,240) and #5 (dashboard outage, multiple users) both correctly triggered escalation in the test run. Messages #1, #2, and #4 correctly did not.</w:t>
      </w:r>
    </w:p>
    <w:p>
      <w:pPr>
        <w:spacing w:before="80" w:after="80"/>
      </w:pPr>
      <w:r>
        <w:t xml:space="preserve"/>
      </w:r>
    </w:p>
    <w:p>
      <w:pPr>
        <w:pBdr>
          <w:bottom w:val="single" w:color="2E75B6" w:sz="6" w:space="3"/>
        </w:pBdr>
        <w:spacing w:before="280" w:after="100"/>
      </w:pPr>
      <w:r>
        <w:rPr>
          <w:rFonts w:ascii="Arial" w:cs="Arial" w:eastAsia="Arial" w:hAnsi="Arial"/>
          <w:b/>
          <w:bCs/>
          <w:color w:val="1E3A5F"/>
          <w:sz w:val="26"/>
          <w:szCs w:val="26"/>
        </w:rPr>
        <w:t xml:space="preserve">4. What I Would Do Differently at Production Scale</w:t>
      </w:r>
    </w:p>
    <w:p>
      <w:pPr>
        <w:spacing w:before="30" w:after="30"/>
      </w:pPr>
      <w:r>
        <w:t xml:space="preserve"/>
      </w:r>
    </w:p>
    <w:p>
      <w:pPr>
        <w:pStyle w:val="ListParagraph"/>
        <w:numPr>
          <w:ilvl w:val="0"/>
          <w:numId w:val="2"/>
        </w:numPr>
        <w:spacing w:before="50" w:after="50"/>
      </w:pPr>
      <w:r>
        <w:rPr>
          <w:rFonts w:ascii="Arial" w:cs="Arial" w:eastAsia="Arial" w:hAnsi="Arial"/>
          <w:b/>
          <w:bCs/>
          <w:color w:val="222222"/>
          <w:sz w:val="21"/>
          <w:szCs w:val="21"/>
        </w:rPr>
        <w:t xml:space="preserve">Reliability: </w:t>
      </w:r>
      <w:r>
        <w:rPr>
          <w:rFonts w:ascii="Arial" w:cs="Arial" w:eastAsia="Arial" w:hAnsi="Arial"/>
          <w:color w:val="222222"/>
          <w:sz w:val="21"/>
          <w:szCs w:val="21"/>
        </w:rPr>
        <w:t xml:space="preserve">add exponential backoff with three retries on LLM calls, a dead-letter queue for messages that exhaust retries, and structured logging with a per-message correlation ID. The current print-based logging would be unmanageable at scale.</w:t>
      </w:r>
    </w:p>
    <w:p>
      <w:pPr>
        <w:pStyle w:val="ListParagraph"/>
        <w:numPr>
          <w:ilvl w:val="0"/>
          <w:numId w:val="2"/>
        </w:numPr>
        <w:spacing w:before="50" w:after="50"/>
      </w:pPr>
      <w:r>
        <w:rPr>
          <w:rFonts w:ascii="Arial" w:cs="Arial" w:eastAsia="Arial" w:hAnsi="Arial"/>
          <w:b/>
          <w:bCs/>
          <w:color w:val="222222"/>
          <w:sz w:val="21"/>
          <w:szCs w:val="21"/>
        </w:rPr>
        <w:t xml:space="preserve">Cost: </w:t>
      </w:r>
      <w:r>
        <w:rPr>
          <w:rFonts w:ascii="Arial" w:cs="Arial" w:eastAsia="Arial" w:hAnsi="Arial"/>
          <w:color w:val="222222"/>
          <w:sz w:val="21"/>
          <w:szCs w:val="21"/>
        </w:rPr>
        <w:t xml:space="preserve">at 10,000 tickets per day, three LLM calls per message adds up. I would merge classification and enrichment into a single call with a combined JSON schema (saving ~33% of API calls), and introduce a tiered model strategy — use Llama 3.1 8B for high-confidence obvious cases and reserve 70B for ambiguous or escalated records. This could reduce cost by 60–70% with minimal accuracy impact.</w:t>
      </w:r>
    </w:p>
    <w:p>
      <w:pPr>
        <w:pStyle w:val="ListParagraph"/>
        <w:numPr>
          <w:ilvl w:val="0"/>
          <w:numId w:val="2"/>
        </w:numPr>
        <w:spacing w:before="50" w:after="50"/>
      </w:pPr>
      <w:r>
        <w:rPr>
          <w:rFonts w:ascii="Arial" w:cs="Arial" w:eastAsia="Arial" w:hAnsi="Arial"/>
          <w:b/>
          <w:bCs/>
          <w:color w:val="222222"/>
          <w:sz w:val="21"/>
          <w:szCs w:val="21"/>
        </w:rPr>
        <w:t xml:space="preserve">Latency: </w:t>
      </w:r>
      <w:r>
        <w:rPr>
          <w:rFonts w:ascii="Arial" w:cs="Arial" w:eastAsia="Arial" w:hAnsi="Arial"/>
          <w:color w:val="222222"/>
          <w:sz w:val="21"/>
          <w:szCs w:val="21"/>
        </w:rPr>
        <w:t xml:space="preserve">parallelise the classification and enrichment calls using asyncio. They are fully independent and together account for roughly two thirds of per-message latency. Running them concurrently would cut end-to-end time nearly in half.</w:t>
      </w:r>
    </w:p>
    <w:p>
      <w:pPr>
        <w:pStyle w:val="ListParagraph"/>
        <w:numPr>
          <w:ilvl w:val="0"/>
          <w:numId w:val="2"/>
        </w:numPr>
        <w:spacing w:before="50" w:after="50"/>
      </w:pPr>
      <w:r>
        <w:rPr>
          <w:rFonts w:ascii="Arial" w:cs="Arial" w:eastAsia="Arial" w:hAnsi="Arial"/>
          <w:b/>
          <w:bCs/>
          <w:color w:val="222222"/>
          <w:sz w:val="21"/>
          <w:szCs w:val="21"/>
        </w:rPr>
        <w:t xml:space="preserve">Prompt versioning: </w:t>
      </w:r>
      <w:r>
        <w:rPr>
          <w:rFonts w:ascii="Arial" w:cs="Arial" w:eastAsia="Arial" w:hAnsi="Arial"/>
          <w:color w:val="222222"/>
          <w:sz w:val="21"/>
          <w:szCs w:val="21"/>
        </w:rPr>
        <w:t xml:space="preserve">move prompts out of Python files and into a versioned config store. This decouples prompt iteration from code deployments and enables A/B testing without a release cycle.</w:t>
      </w:r>
    </w:p>
    <w:p>
      <w:pPr>
        <w:spacing w:before="80" w:after="80"/>
      </w:pPr>
      <w:r>
        <w:t xml:space="preserve"/>
      </w:r>
    </w:p>
    <w:p>
      <w:pPr>
        <w:pBdr>
          <w:bottom w:val="single" w:color="2E75B6" w:sz="6" w:space="3"/>
        </w:pBdr>
        <w:spacing w:before="280" w:after="100"/>
      </w:pPr>
      <w:r>
        <w:rPr>
          <w:rFonts w:ascii="Arial" w:cs="Arial" w:eastAsia="Arial" w:hAnsi="Arial"/>
          <w:b/>
          <w:bCs/>
          <w:color w:val="1E3A5F"/>
          <w:sz w:val="26"/>
          <w:szCs w:val="26"/>
        </w:rPr>
        <w:t xml:space="preserve">5. Phase 2 — With One More Week</w:t>
      </w:r>
    </w:p>
    <w:p>
      <w:pPr>
        <w:spacing w:before="30" w:after="30"/>
      </w:pPr>
      <w:r>
        <w:t xml:space="preserve"/>
      </w:r>
    </w:p>
    <w:p>
      <w:pPr>
        <w:pStyle w:val="ListParagraph"/>
        <w:numPr>
          <w:ilvl w:val="0"/>
          <w:numId w:val="2"/>
        </w:numPr>
        <w:spacing w:before="50" w:after="50"/>
      </w:pPr>
      <w:r>
        <w:rPr>
          <w:rFonts w:ascii="Arial" w:cs="Arial" w:eastAsia="Arial" w:hAnsi="Arial"/>
          <w:b/>
          <w:bCs/>
          <w:color w:val="222222"/>
          <w:sz w:val="21"/>
          <w:szCs w:val="21"/>
        </w:rPr>
        <w:t xml:space="preserve">Live webhook trigger: </w:t>
      </w:r>
      <w:r>
        <w:rPr>
          <w:rFonts w:ascii="Arial" w:cs="Arial" w:eastAsia="Arial" w:hAnsi="Arial"/>
          <w:color w:val="222222"/>
          <w:sz w:val="21"/>
          <w:szCs w:val="21"/>
        </w:rPr>
        <w:t xml:space="preserve">replace the JSON file input with a FastAPI endpoint that receives POST requests from email providers and web forms, making the pipeline genuinely real-time.</w:t>
      </w:r>
    </w:p>
    <w:p>
      <w:pPr>
        <w:pStyle w:val="ListParagraph"/>
        <w:numPr>
          <w:ilvl w:val="0"/>
          <w:numId w:val="2"/>
        </w:numPr>
        <w:spacing w:before="50" w:after="50"/>
      </w:pPr>
      <w:r>
        <w:rPr>
          <w:rFonts w:ascii="Arial" w:cs="Arial" w:eastAsia="Arial" w:hAnsi="Arial"/>
          <w:b/>
          <w:bCs/>
          <w:color w:val="222222"/>
          <w:sz w:val="21"/>
          <w:szCs w:val="21"/>
        </w:rPr>
        <w:t xml:space="preserve">Customer context via RAG: </w:t>
      </w:r>
      <w:r>
        <w:rPr>
          <w:rFonts w:ascii="Arial" w:cs="Arial" w:eastAsia="Arial" w:hAnsi="Arial"/>
          <w:color w:val="222222"/>
          <w:sz w:val="21"/>
          <w:szCs w:val="21"/>
        </w:rPr>
        <w:t xml:space="preserve">look up the sender's account tier and ticket history before classification. A Platinum customer's bug report should be treated differently from a free-tier inquiry — the routing and priority logic should know that.</w:t>
      </w:r>
    </w:p>
    <w:p>
      <w:pPr>
        <w:pStyle w:val="ListParagraph"/>
        <w:numPr>
          <w:ilvl w:val="0"/>
          <w:numId w:val="2"/>
        </w:numPr>
        <w:spacing w:before="50" w:after="50"/>
      </w:pPr>
      <w:r>
        <w:rPr>
          <w:rFonts w:ascii="Arial" w:cs="Arial" w:eastAsia="Arial" w:hAnsi="Arial"/>
          <w:b/>
          <w:bCs/>
          <w:color w:val="222222"/>
          <w:sz w:val="21"/>
          <w:szCs w:val="21"/>
        </w:rPr>
        <w:t xml:space="preserve">Human feedback loop: </w:t>
      </w:r>
      <w:r>
        <w:rPr>
          <w:rFonts w:ascii="Arial" w:cs="Arial" w:eastAsia="Arial" w:hAnsi="Arial"/>
          <w:color w:val="222222"/>
          <w:sz w:val="21"/>
          <w:szCs w:val="21"/>
        </w:rPr>
        <w:t xml:space="preserve">add a verdict column to the Google Sheet. When agents resolve tickets, they mark whether the classification was correct. Feed verified labels back as few-shot examples into the prompt over time, turning the system into a self-improving classifier.</w:t>
      </w:r>
    </w:p>
    <w:p>
      <w:pPr>
        <w:pStyle w:val="ListParagraph"/>
        <w:numPr>
          <w:ilvl w:val="0"/>
          <w:numId w:val="2"/>
        </w:numPr>
        <w:spacing w:before="50" w:after="50"/>
      </w:pPr>
      <w:r>
        <w:rPr>
          <w:rFonts w:ascii="Arial" w:cs="Arial" w:eastAsia="Arial" w:hAnsi="Arial"/>
          <w:b/>
          <w:bCs/>
          <w:color w:val="222222"/>
          <w:sz w:val="21"/>
          <w:szCs w:val="21"/>
        </w:rPr>
        <w:t xml:space="preserve">Escalation notifications: </w:t>
      </w:r>
      <w:r>
        <w:rPr>
          <w:rFonts w:ascii="Arial" w:cs="Arial" w:eastAsia="Arial" w:hAnsi="Arial"/>
          <w:color w:val="222222"/>
          <w:sz w:val="21"/>
          <w:szCs w:val="21"/>
        </w:rPr>
        <w:t xml:space="preserve">push an immediate Slack or email alert to the on-call team when a record is escalated, with the summary and a direct Sheet link. Currently escalated records sit passively waiting to be noticed.</w:t>
      </w:r>
    </w:p>
    <w:p>
      <w:pPr>
        <w:pStyle w:val="ListParagraph"/>
        <w:numPr>
          <w:ilvl w:val="0"/>
          <w:numId w:val="2"/>
        </w:numPr>
        <w:spacing w:before="50" w:after="50"/>
      </w:pPr>
      <w:r>
        <w:rPr>
          <w:rFonts w:ascii="Arial" w:cs="Arial" w:eastAsia="Arial" w:hAnsi="Arial"/>
          <w:b/>
          <w:bCs/>
          <w:color w:val="222222"/>
          <w:sz w:val="21"/>
          <w:szCs w:val="21"/>
        </w:rPr>
        <w:t xml:space="preserve">Metrics dashboard: </w:t>
      </w:r>
      <w:r>
        <w:rPr>
          <w:rFonts w:ascii="Arial" w:cs="Arial" w:eastAsia="Arial" w:hAnsi="Arial"/>
          <w:color w:val="222222"/>
          <w:sz w:val="21"/>
          <w:szCs w:val="21"/>
        </w:rPr>
        <w:t xml:space="preserve">a simple read layer on the output Sheet showing volume by category, average confidence over time, escalation rate, and queue backlog per team — giving managers visibility without touching raw data.</w:t>
      </w:r>
    </w:p>
    <w:p>
      <w:pPr>
        <w:spacing w:before="80" w:after="80"/>
      </w:pPr>
      <w:r>
        <w:t xml:space="preserve"/>
      </w:r>
    </w:p>
    <w:sectPr>
      <w:footerReference w:type="default" r:id="rId6"/>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3"/>
      </w:pBdr>
      <w:spacing w:before="80"/>
    </w:pPr>
    <w:r>
      <w:rPr>
        <w:rFonts w:ascii="Arial" w:cs="Arial" w:eastAsia="Arial" w:hAnsi="Arial"/>
        <w:i/>
        <w:iCs/>
        <w:color w:val="555555"/>
        <w:sz w:val="17"/>
        <w:szCs w:val="17"/>
      </w:rPr>
      <w:t xml:space="preserve">ArcVault Triage Pipeline  |  Architecture Write-Up  |  Sajed Hamdan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2026-03-12T23:11:55.586Z</dcterms:created>
  <dcterms:modified xsi:type="dcterms:W3CDTF">2026-03-12T23:11:55.587Z</dcterms:modified>
</cp:coreProperties>
</file>

<file path=docProps/custom.xml><?xml version="1.0" encoding="utf-8"?>
<Properties xmlns="http://schemas.openxmlformats.org/officeDocument/2006/custom-properties" xmlns:vt="http://schemas.openxmlformats.org/officeDocument/2006/docPropsVTypes"/>
</file>