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r>
              <w:rPr>
                <w:rFonts w:ascii="Arial" w:cs="Arial" w:eastAsia="Arial" w:hAnsi="Arial"/>
                <w:b/>
                <w:bCs/>
                <w:color w:val="FFFFFF"/>
                <w:sz w:val="38"/>
                <w:szCs w:val="38"/>
              </w:rPr>
              <w:t xml:space="preserve">ArcVault Triage Pipeline — Architecture Write-Up</w:t>
            </w:r>
          </w:p>
          <w:p>
            <w:r>
              <w:rPr>
                <w:rFonts w:ascii="Arial" w:cs="Arial" w:eastAsia="Arial" w:hAnsi="Arial"/>
                <w:color w:val="BDD7EE"/>
                <w:sz w:val="19"/>
                <w:szCs w:val="19"/>
              </w:rPr>
              <w:t xml:space="preserve">Sajed Hamdan  |  AI Engineer Assessment  |  Valsoft / Aspire Software  |  March 2026</w:t>
            </w:r>
          </w:p>
          <w:p>
            <w:pPr>
              <w:spacing w:before="60" w:after="60"/>
            </w:pPr>
            <w:r>
              <w:t xml:space="preserve"/>
            </w:r>
          </w:p>
          <w:p>
            <w:r>
              <w:rPr>
                <w:rFonts w:ascii="Arial" w:cs="Arial" w:eastAsia="Arial" w:hAnsi="Arial"/>
                <w:color w:val="BDD7EE"/>
                <w:sz w:val="19"/>
                <w:szCs w:val="19"/>
              </w:rPr>
              <w:t xml:space="preserve">Stack: Python 3.12  ·  FastAPI  ·  Groq (Llama 3.3 70B)  ·  Google Sheets</w:t>
            </w:r>
          </w:p>
        </w:tc>
      </w:tr>
    </w:tbl>
    <w:p>
      <w:pPr>
        <w:spacing w:before="100" w:after="100"/>
      </w:pPr>
      <w:r>
        <w:t xml:space="preserve"/>
      </w:r>
    </w:p>
    <w:p>
      <w:pPr>
        <w:pBdr>
          <w:bottom w:val="single" w:color="2E75B6" w:sz="6" w:space="3"/>
        </w:pBdr>
        <w:spacing w:before="280" w:after="100"/>
      </w:pPr>
      <w:r>
        <w:rPr>
          <w:rFonts w:ascii="Arial" w:cs="Arial" w:eastAsia="Arial" w:hAnsi="Arial"/>
          <w:b/>
          <w:bCs/>
          <w:color w:val="1E3A5F"/>
          <w:sz w:val="26"/>
          <w:szCs w:val="26"/>
        </w:rPr>
        <w:t xml:space="preserve">1. System Design</w:t>
      </w:r>
    </w:p>
    <w:p>
      <w:pPr>
        <w:spacing w:before="60" w:after="60"/>
      </w:pPr>
      <w:r>
        <w:rPr>
          <w:rFonts w:ascii="Arial" w:cs="Arial" w:eastAsia="Arial" w:hAnsi="Arial"/>
          <w:color w:val="222222"/>
          <w:sz w:val="21"/>
          <w:szCs w:val="21"/>
        </w:rPr>
        <w:t xml:space="preserve">The pipeline is a six-step Python application with a FastAPI webhook server as its ingestion layer. Each pipeline step lives in its own module, so any component can be tuned or replaced without touching the others. State is held in memory as a single dictionary per message that accumulates fields as it moves through the pipeline.</w:t>
      </w:r>
    </w:p>
    <w:p>
      <w:pPr>
        <w:spacing w:before="40" w:after="40"/>
      </w:pPr>
      <w:r>
        <w:t xml:space="preserve"/>
      </w:r>
    </w:p>
    <w:p>
      <w:pPr>
        <w:spacing w:before="60" w:after="60"/>
      </w:pPr>
      <w:r>
        <w:rPr>
          <w:rFonts w:ascii="Arial" w:cs="Arial" w:eastAsia="Arial" w:hAnsi="Arial"/>
          <w:color w:val="222222"/>
          <w:sz w:val="21"/>
          <w:szCs w:val="21"/>
        </w:rPr>
        <w:t xml:space="preserve">The entry point is </w:t>
      </w:r>
      <w:r>
        <w:rPr>
          <w:rFonts w:ascii="Arial" w:cs="Arial" w:eastAsia="Arial" w:hAnsi="Arial"/>
          <w:b/>
          <w:bCs/>
          <w:color w:val="222222"/>
          <w:sz w:val="21"/>
          <w:szCs w:val="21"/>
        </w:rPr>
        <w:t xml:space="preserve">webhook_server.py</w:t>
      </w:r>
      <w:r>
        <w:rPr>
          <w:rFonts w:ascii="Arial" w:cs="Arial" w:eastAsia="Arial" w:hAnsi="Arial"/>
          <w:color w:val="222222"/>
          <w:sz w:val="21"/>
          <w:szCs w:val="21"/>
        </w:rPr>
        <w:t xml:space="preserve"> — a FastAPI server that listens on port 8000 for inbound POST requests at the </w:t>
      </w:r>
      <w:r>
        <w:rPr>
          <w:rFonts w:ascii="Arial" w:cs="Arial" w:eastAsia="Arial" w:hAnsi="Arial"/>
          <w:b/>
          <w:bCs/>
          <w:color w:val="222222"/>
          <w:sz w:val="21"/>
          <w:szCs w:val="21"/>
        </w:rPr>
        <w:t xml:space="preserve">/triage</w:t>
      </w:r>
      <w:r>
        <w:rPr>
          <w:rFonts w:ascii="Arial" w:cs="Arial" w:eastAsia="Arial" w:hAnsi="Arial"/>
          <w:color w:val="222222"/>
          <w:sz w:val="21"/>
          <w:szCs w:val="21"/>
        </w:rPr>
        <w:t xml:space="preserve"> endpoint. Each request carries a raw customer message with its source channel (Email, Web Form, or Support Portal). The moment a request arrives, the server automatically triggers the full pipeline for that message — no manual intervention required.</w:t>
      </w:r>
    </w:p>
    <w:p>
      <w:pPr>
        <w:spacing w:before="40" w:after="40"/>
      </w:pPr>
      <w:r>
        <w:t xml:space="preserve"/>
      </w:r>
    </w:p>
    <w:p>
      <w:pPr>
        <w:spacing w:before="60" w:after="60"/>
      </w:pPr>
      <w:r>
        <w:rPr>
          <w:rFonts w:ascii="Arial" w:cs="Arial" w:eastAsia="Arial" w:hAnsi="Arial"/>
          <w:color w:val="222222"/>
          <w:sz w:val="21"/>
          <w:szCs w:val="21"/>
        </w:rPr>
        <w:t xml:space="preserve">The flow is as follows: the webhook receives the raw message (Step 1 — Ingestion) and calls </w:t>
      </w:r>
      <w:r>
        <w:rPr>
          <w:rFonts w:ascii="Arial" w:cs="Arial" w:eastAsia="Arial" w:hAnsi="Arial"/>
          <w:b/>
          <w:bCs/>
          <w:color w:val="222222"/>
          <w:sz w:val="21"/>
          <w:szCs w:val="21"/>
        </w:rPr>
        <w:t xml:space="preserve">classifier.py</w:t>
      </w:r>
      <w:r>
        <w:rPr>
          <w:rFonts w:ascii="Arial" w:cs="Arial" w:eastAsia="Arial" w:hAnsi="Arial"/>
          <w:color w:val="222222"/>
          <w:sz w:val="21"/>
          <w:szCs w:val="21"/>
        </w:rPr>
        <w:t xml:space="preserve"> which sends it to the Groq LLM returning category, priority, and confidence score (Step 2). It then calls </w:t>
      </w:r>
      <w:r>
        <w:rPr>
          <w:rFonts w:ascii="Arial" w:cs="Arial" w:eastAsia="Arial" w:hAnsi="Arial"/>
          <w:b/>
          <w:bCs/>
          <w:color w:val="222222"/>
          <w:sz w:val="21"/>
          <w:szCs w:val="21"/>
        </w:rPr>
        <w:t xml:space="preserve">enricher.py</w:t>
      </w:r>
      <w:r>
        <w:rPr>
          <w:rFonts w:ascii="Arial" w:cs="Arial" w:eastAsia="Arial" w:hAnsi="Arial"/>
          <w:color w:val="222222"/>
          <w:sz w:val="21"/>
          <w:szCs w:val="21"/>
        </w:rPr>
        <w:t xml:space="preserve"> for a second LLM call extracting the core issue, identifiers, and urgency signal (Step 3). The result passes to </w:t>
      </w:r>
      <w:r>
        <w:rPr>
          <w:rFonts w:ascii="Arial" w:cs="Arial" w:eastAsia="Arial" w:hAnsi="Arial"/>
          <w:b/>
          <w:bCs/>
          <w:color w:val="222222"/>
          <w:sz w:val="21"/>
          <w:szCs w:val="21"/>
        </w:rPr>
        <w:t xml:space="preserve">router.py</w:t>
      </w:r>
      <w:r>
        <w:rPr>
          <w:rFonts w:ascii="Arial" w:cs="Arial" w:eastAsia="Arial" w:hAnsi="Arial"/>
          <w:color w:val="222222"/>
          <w:sz w:val="21"/>
          <w:szCs w:val="21"/>
        </w:rPr>
        <w:t xml:space="preserve"> for deterministic queue assignment (Step 4), then to </w:t>
      </w:r>
      <w:r>
        <w:rPr>
          <w:rFonts w:ascii="Arial" w:cs="Arial" w:eastAsia="Arial" w:hAnsi="Arial"/>
          <w:b/>
          <w:bCs/>
          <w:color w:val="222222"/>
          <w:sz w:val="21"/>
          <w:szCs w:val="21"/>
        </w:rPr>
        <w:t xml:space="preserve">escalation.py</w:t>
      </w:r>
      <w:r>
        <w:rPr>
          <w:rFonts w:ascii="Arial" w:cs="Arial" w:eastAsia="Arial" w:hAnsi="Arial"/>
          <w:color w:val="222222"/>
          <w:sz w:val="21"/>
          <w:szCs w:val="21"/>
        </w:rPr>
        <w:t xml:space="preserve"> which checks three rules and overrides the queue if needed (Step 6). Finally </w:t>
      </w:r>
      <w:r>
        <w:rPr>
          <w:rFonts w:ascii="Arial" w:cs="Arial" w:eastAsia="Arial" w:hAnsi="Arial"/>
          <w:b/>
          <w:bCs/>
          <w:color w:val="222222"/>
          <w:sz w:val="21"/>
          <w:szCs w:val="21"/>
        </w:rPr>
        <w:t xml:space="preserve">summarizer.py</w:t>
      </w:r>
      <w:r>
        <w:rPr>
          <w:rFonts w:ascii="Arial" w:cs="Arial" w:eastAsia="Arial" w:hAnsi="Arial"/>
          <w:color w:val="222222"/>
          <w:sz w:val="21"/>
          <w:szCs w:val="21"/>
        </w:rPr>
        <w:t xml:space="preserve"> generates a human-readable handoff summary and </w:t>
      </w:r>
      <w:r>
        <w:rPr>
          <w:rFonts w:ascii="Arial" w:cs="Arial" w:eastAsia="Arial" w:hAnsi="Arial"/>
          <w:b/>
          <w:bCs/>
          <w:color w:val="222222"/>
          <w:sz w:val="21"/>
          <w:szCs w:val="21"/>
        </w:rPr>
        <w:t xml:space="preserve">output_writer.py</w:t>
      </w:r>
      <w:r>
        <w:rPr>
          <w:rFonts w:ascii="Arial" w:cs="Arial" w:eastAsia="Arial" w:hAnsi="Arial"/>
          <w:color w:val="222222"/>
          <w:sz w:val="21"/>
          <w:szCs w:val="21"/>
        </w:rPr>
        <w:t xml:space="preserve"> persists the complete record to both a local JSON file and a Google Sheet simultaneously (Step 5).</w:t>
      </w:r>
    </w:p>
    <w:p>
      <w:pPr>
        <w:spacing w:before="40" w:after="40"/>
      </w:pPr>
      <w:r>
        <w:t xml:space="preserve"/>
      </w:r>
    </w:p>
    <w:p>
      <w:pPr>
        <w:spacing w:before="60" w:after="60"/>
      </w:pPr>
      <w:r>
        <w:rPr>
          <w:rFonts w:ascii="Arial" w:cs="Arial" w:eastAsia="Arial" w:hAnsi="Arial"/>
          <w:color w:val="222222"/>
          <w:sz w:val="21"/>
          <w:szCs w:val="21"/>
        </w:rPr>
        <w:t xml:space="preserve">For demonstration purposes, </w:t>
      </w:r>
      <w:r>
        <w:rPr>
          <w:rFonts w:ascii="Arial" w:cs="Arial" w:eastAsia="Arial" w:hAnsi="Arial"/>
          <w:b/>
          <w:bCs/>
          <w:color w:val="222222"/>
          <w:sz w:val="21"/>
          <w:szCs w:val="21"/>
        </w:rPr>
        <w:t xml:space="preserve">send_messages.py</w:t>
      </w:r>
      <w:r>
        <w:rPr>
          <w:rFonts w:ascii="Arial" w:cs="Arial" w:eastAsia="Arial" w:hAnsi="Arial"/>
          <w:color w:val="222222"/>
          <w:sz w:val="21"/>
          <w:szCs w:val="21"/>
        </w:rPr>
        <w:t xml:space="preserve"> simulates the inbound traffic — it sends all five synthetic messages as sequential POST requests to the webhook, exactly as a real email provider or web form integration would. In production this script is replaced by live integrations with Gmail, web form providers, or support portal APIs.</w:t>
      </w:r>
    </w:p>
    <w:p>
      <w:pPr>
        <w:spacing w:before="80" w:after="80"/>
      </w:pPr>
      <w:r>
        <w:t xml:space="preserve"/>
      </w:r>
    </w:p>
    <w:p>
      <w:pPr>
        <w:pBdr>
          <w:bottom w:val="single" w:color="2E75B6" w:sz="6" w:space="3"/>
        </w:pBdr>
        <w:spacing w:before="280" w:after="100"/>
      </w:pPr>
      <w:r>
        <w:rPr>
          <w:rFonts w:ascii="Arial" w:cs="Arial" w:eastAsia="Arial" w:hAnsi="Arial"/>
          <w:b/>
          <w:bCs/>
          <w:color w:val="1E3A5F"/>
          <w:sz w:val="26"/>
          <w:szCs w:val="26"/>
        </w:rPr>
        <w:t xml:space="preserve">2. Routing Logic</w:t>
      </w:r>
    </w:p>
    <w:p>
      <w:pPr>
        <w:spacing w:before="60" w:after="60"/>
      </w:pPr>
      <w:r>
        <w:rPr>
          <w:rFonts w:ascii="Arial" w:cs="Arial" w:eastAsia="Arial" w:hAnsi="Arial"/>
          <w:color w:val="222222"/>
          <w:sz w:val="21"/>
          <w:szCs w:val="21"/>
        </w:rPr>
        <w:t xml:space="preserve">Routing is a pure lookup table in </w:t>
      </w:r>
      <w:r>
        <w:rPr>
          <w:rFonts w:ascii="Arial" w:cs="Arial" w:eastAsia="Arial" w:hAnsi="Arial"/>
          <w:b/>
          <w:bCs/>
          <w:color w:val="222222"/>
          <w:sz w:val="21"/>
          <w:szCs w:val="21"/>
        </w:rPr>
        <w:t xml:space="preserve">router.py</w:t>
      </w:r>
      <w:r>
        <w:rPr>
          <w:rFonts w:ascii="Arial" w:cs="Arial" w:eastAsia="Arial" w:hAnsi="Arial"/>
          <w:color w:val="222222"/>
          <w:sz w:val="21"/>
          <w:szCs w:val="21"/>
        </w:rPr>
        <w:t xml:space="preserve"> — no LLM involved. The five categories map as follows: Bug Report and Incident/Outage route to Engineering; Feature Request routes to Product; Billing Issue routes to Billing; Technical Question routes to IT/Security. Any Unclassified result routes directly to Escalation.</w:t>
      </w:r>
    </w:p>
    <w:p>
      <w:pPr>
        <w:spacing w:before="40" w:after="40"/>
      </w:pPr>
      <w:r>
        <w:t xml:space="preserve"/>
      </w:r>
    </w:p>
    <w:p>
      <w:pPr>
        <w:spacing w:before="60" w:after="60"/>
      </w:pPr>
      <w:r>
        <w:rPr>
          <w:rFonts w:ascii="Arial" w:cs="Arial" w:eastAsia="Arial" w:hAnsi="Arial"/>
          <w:color w:val="222222"/>
          <w:sz w:val="21"/>
          <w:szCs w:val="21"/>
        </w:rPr>
        <w:t xml:space="preserve">Routing is intentionally deterministic rather than LLM-driven because routing decisions must be auditable. A manager should always be able to point to the exact rule that sent a ticket to a particular queue. The routing table is also trivially extensible — adding a new category is a single line change.</w:t>
      </w:r>
    </w:p>
    <w:p>
      <w:pPr>
        <w:spacing w:before="40" w:after="40"/>
      </w:pPr>
      <w:r>
        <w:t xml:space="preserve"/>
      </w:r>
    </w:p>
    <w:p>
      <w:pPr>
        <w:spacing w:before="60" w:after="60"/>
      </w:pPr>
      <w:r>
        <w:rPr>
          <w:rFonts w:ascii="Arial" w:cs="Arial" w:eastAsia="Arial" w:hAnsi="Arial"/>
          <w:color w:val="222222"/>
          <w:sz w:val="21"/>
          <w:szCs w:val="21"/>
        </w:rPr>
        <w:t xml:space="preserve">One rule sits on top of the table: if the model's confidence score falls </w:t>
      </w:r>
      <w:r>
        <w:rPr>
          <w:rFonts w:ascii="Arial" w:cs="Arial" w:eastAsia="Arial" w:hAnsi="Arial"/>
          <w:b/>
          <w:bCs/>
          <w:color w:val="222222"/>
          <w:sz w:val="21"/>
          <w:szCs w:val="21"/>
        </w:rPr>
        <w:t xml:space="preserve">below 70%</w:t>
      </w:r>
      <w:r>
        <w:rPr>
          <w:rFonts w:ascii="Arial" w:cs="Arial" w:eastAsia="Arial" w:hAnsi="Arial"/>
          <w:color w:val="222222"/>
          <w:sz w:val="21"/>
          <w:szCs w:val="21"/>
        </w:rPr>
        <w:t xml:space="preserve">, the category assignment is ignored and the message routes to Escalation regardless. An uncertain classification should never reach a team queue automatically — the cost of a wrong routing decision exceeds the cost of a human review.</w:t>
      </w:r>
    </w:p>
    <w:p>
      <w:pPr>
        <w:spacing w:before="80" w:after="80"/>
      </w:pPr>
      <w:r>
        <w:t xml:space="preserve"/>
      </w:r>
    </w:p>
    <w:p>
      <w:pPr>
        <w:pBdr>
          <w:bottom w:val="single" w:color="2E75B6" w:sz="6" w:space="3"/>
        </w:pBdr>
        <w:spacing w:before="280" w:after="100"/>
      </w:pPr>
      <w:r>
        <w:rPr>
          <w:rFonts w:ascii="Arial" w:cs="Arial" w:eastAsia="Arial" w:hAnsi="Arial"/>
          <w:b/>
          <w:bCs/>
          <w:color w:val="1E3A5F"/>
          <w:sz w:val="26"/>
          <w:szCs w:val="26"/>
        </w:rPr>
        <w:t xml:space="preserve">3. Escalation Logic</w:t>
      </w:r>
    </w:p>
    <w:p>
      <w:pPr>
        <w:spacing w:before="60" w:after="60"/>
      </w:pPr>
      <w:r>
        <w:rPr>
          <w:rFonts w:ascii="Arial" w:cs="Arial" w:eastAsia="Arial" w:hAnsi="Arial"/>
          <w:color w:val="222222"/>
          <w:sz w:val="21"/>
          <w:szCs w:val="21"/>
        </w:rPr>
        <w:t xml:space="preserve">Escalation fires if any one of three rules is met:</w:t>
      </w:r>
    </w:p>
    <w:p>
      <w:pPr>
        <w:spacing w:before="30" w:after="30"/>
      </w:pPr>
      <w:r>
        <w:t xml:space="preserve"/>
      </w:r>
    </w:p>
    <w:p>
      <w:pPr>
        <w:pStyle w:val="ListParagraph"/>
        <w:numPr>
          <w:ilvl w:val="0"/>
          <w:numId w:val="2"/>
        </w:numPr>
        <w:spacing w:before="50" w:after="50"/>
      </w:pPr>
      <w:r>
        <w:rPr>
          <w:rFonts w:ascii="Arial" w:cs="Arial" w:eastAsia="Arial" w:hAnsi="Arial"/>
          <w:b/>
          <w:bCs/>
          <w:color w:val="222222"/>
          <w:sz w:val="21"/>
          <w:szCs w:val="21"/>
        </w:rPr>
        <w:t xml:space="preserve">Confidence below 70%: </w:t>
      </w:r>
      <w:r>
        <w:rPr>
          <w:rFonts w:ascii="Arial" w:cs="Arial" w:eastAsia="Arial" w:hAnsi="Arial"/>
          <w:color w:val="222222"/>
          <w:sz w:val="21"/>
          <w:szCs w:val="21"/>
        </w:rPr>
        <w:t xml:space="preserve">the model is uncertain and human judgment is required before routing.</w:t>
      </w:r>
    </w:p>
    <w:p>
      <w:pPr>
        <w:pStyle w:val="ListParagraph"/>
        <w:numPr>
          <w:ilvl w:val="0"/>
          <w:numId w:val="2"/>
        </w:numPr>
        <w:spacing w:before="50" w:after="50"/>
      </w:pPr>
      <w:r>
        <w:rPr>
          <w:rFonts w:ascii="Arial" w:cs="Arial" w:eastAsia="Arial" w:hAnsi="Arial"/>
          <w:b/>
          <w:bCs/>
          <w:color w:val="222222"/>
          <w:sz w:val="21"/>
          <w:szCs w:val="21"/>
        </w:rPr>
        <w:t xml:space="preserve">Escalation keywords: </w:t>
      </w:r>
      <w:r>
        <w:rPr>
          <w:rFonts w:ascii="Arial" w:cs="Arial" w:eastAsia="Arial" w:hAnsi="Arial"/>
          <w:color w:val="222222"/>
          <w:sz w:val="21"/>
          <w:szCs w:val="21"/>
        </w:rPr>
        <w:t xml:space="preserve">outage, down for all users, multiple users affected, data loss, cannot access, security breach. Any of these in the raw message triggers immediate escalation. Keyword matching is intentionally broad — a false positive costs a human five minutes; a false negative on a live outage costs the business far more.</w:t>
      </w:r>
    </w:p>
    <w:p>
      <w:pPr>
        <w:pStyle w:val="ListParagraph"/>
        <w:numPr>
          <w:ilvl w:val="0"/>
          <w:numId w:val="2"/>
        </w:numPr>
        <w:spacing w:before="50" w:after="50"/>
      </w:pPr>
      <w:r>
        <w:rPr>
          <w:rFonts w:ascii="Arial" w:cs="Arial" w:eastAsia="Arial" w:hAnsi="Arial"/>
          <w:b/>
          <w:bCs/>
          <w:color w:val="222222"/>
          <w:sz w:val="21"/>
          <w:szCs w:val="21"/>
        </w:rPr>
        <w:t xml:space="preserve">Billing amount above $500: </w:t>
      </w:r>
      <w:r>
        <w:rPr>
          <w:rFonts w:ascii="Arial" w:cs="Arial" w:eastAsia="Arial" w:hAnsi="Arial"/>
          <w:color w:val="222222"/>
          <w:sz w:val="21"/>
          <w:szCs w:val="21"/>
        </w:rPr>
        <w:t xml:space="preserve">extracted via regex from Billing Issue messages. Financial discrepancies of this size carry legal and contractual implications requiring human review before any automated action.</w:t>
      </w:r>
    </w:p>
    <w:p>
      <w:pPr>
        <w:spacing w:before="40" w:after="40"/>
      </w:pPr>
      <w:r>
        <w:t xml:space="preserve"/>
      </w:r>
    </w:p>
    <w:p>
      <w:pPr>
        <w:spacing w:before="60" w:after="60"/>
      </w:pPr>
      <w:r>
        <w:rPr>
          <w:rFonts w:ascii="Arial" w:cs="Arial" w:eastAsia="Arial" w:hAnsi="Arial"/>
          <w:color w:val="222222"/>
          <w:sz w:val="21"/>
          <w:szCs w:val="21"/>
        </w:rPr>
        <w:t xml:space="preserve">In the test run: Message #3 (invoice discrepancy of $1,240) and Message #5 (dashboard outage, multiple users) both correctly triggered escalation. Messages #1, #2, and #4 correctly did not.</w:t>
      </w:r>
    </w:p>
    <w:p>
      <w:pPr>
        <w:spacing w:before="40" w:after="40"/>
      </w:pPr>
      <w:r>
        <w:t xml:space="preserve"/>
      </w:r>
    </w:p>
    <w:p>
      <w:pPr>
        <w:spacing w:before="60" w:after="60"/>
      </w:pPr>
      <w:r>
        <w:rPr>
          <w:rFonts w:ascii="Arial" w:cs="Arial" w:eastAsia="Arial" w:hAnsi="Arial"/>
          <w:color w:val="222222"/>
          <w:sz w:val="21"/>
          <w:szCs w:val="21"/>
        </w:rPr>
        <w:t xml:space="preserve">Escalation uses a rule engine rather than an LLM because escalation decisions must be transparent and auditable. Every escalation can be traced to the exact rule that fired — something LLM-based escalation cannot guarantee.</w:t>
      </w:r>
    </w:p>
    <w:p>
      <w:pPr>
        <w:spacing w:before="80" w:after="80"/>
      </w:pPr>
      <w:r>
        <w:t xml:space="preserve"/>
      </w:r>
    </w:p>
    <w:p>
      <w:pPr>
        <w:pBdr>
          <w:bottom w:val="single" w:color="2E75B6" w:sz="6" w:space="3"/>
        </w:pBdr>
        <w:spacing w:before="280" w:after="100"/>
      </w:pPr>
      <w:r>
        <w:rPr>
          <w:rFonts w:ascii="Arial" w:cs="Arial" w:eastAsia="Arial" w:hAnsi="Arial"/>
          <w:b/>
          <w:bCs/>
          <w:color w:val="1E3A5F"/>
          <w:sz w:val="26"/>
          <w:szCs w:val="26"/>
        </w:rPr>
        <w:t xml:space="preserve">4. What I Would Do Differently at Production Scale</w:t>
      </w:r>
    </w:p>
    <w:p>
      <w:pPr>
        <w:spacing w:before="30" w:after="30"/>
      </w:pPr>
      <w:r>
        <w:t xml:space="preserve"/>
      </w:r>
    </w:p>
    <w:p>
      <w:pPr>
        <w:pStyle w:val="ListParagraph"/>
        <w:numPr>
          <w:ilvl w:val="0"/>
          <w:numId w:val="2"/>
        </w:numPr>
        <w:spacing w:before="50" w:after="50"/>
      </w:pPr>
      <w:r>
        <w:rPr>
          <w:rFonts w:ascii="Arial" w:cs="Arial" w:eastAsia="Arial" w:hAnsi="Arial"/>
          <w:b/>
          <w:bCs/>
          <w:color w:val="222222"/>
          <w:sz w:val="21"/>
          <w:szCs w:val="21"/>
        </w:rPr>
        <w:t xml:space="preserve">Reliability: </w:t>
      </w:r>
      <w:r>
        <w:rPr>
          <w:rFonts w:ascii="Arial" w:cs="Arial" w:eastAsia="Arial" w:hAnsi="Arial"/>
          <w:color w:val="222222"/>
          <w:sz w:val="21"/>
          <w:szCs w:val="21"/>
        </w:rPr>
        <w:t xml:space="preserve">add exponential backoff with three retries on LLM calls, a dead-letter queue for messages that exhaust retries, and structured logging with a per-message correlation ID. Replace print statements with a proper logging framework. The FastAPI server would be containerised with Docker and deployed behind a load balancer.</w:t>
      </w:r>
    </w:p>
    <w:p>
      <w:pPr>
        <w:pStyle w:val="ListParagraph"/>
        <w:numPr>
          <w:ilvl w:val="0"/>
          <w:numId w:val="2"/>
        </w:numPr>
        <w:spacing w:before="50" w:after="50"/>
      </w:pPr>
      <w:r>
        <w:rPr>
          <w:rFonts w:ascii="Arial" w:cs="Arial" w:eastAsia="Arial" w:hAnsi="Arial"/>
          <w:b/>
          <w:bCs/>
          <w:color w:val="222222"/>
          <w:sz w:val="21"/>
          <w:szCs w:val="21"/>
        </w:rPr>
        <w:t xml:space="preserve">Cost: </w:t>
      </w:r>
      <w:r>
        <w:rPr>
          <w:rFonts w:ascii="Arial" w:cs="Arial" w:eastAsia="Arial" w:hAnsi="Arial"/>
          <w:color w:val="222222"/>
          <w:sz w:val="21"/>
          <w:szCs w:val="21"/>
        </w:rPr>
        <w:t xml:space="preserve">at 10,000 tickets per day, three LLM calls per message adds up significantly. I would merge classification and enrichment into a single call with a combined JSON schema (saving ~33% of API calls), and introduce a tiered model strategy — Llama 3.1 8B for high-confidence obvious cases, 70B reserved for ambiguous or escalated records. This could reduce cost by 60-70% with minimal accuracy impact.</w:t>
      </w:r>
    </w:p>
    <w:p>
      <w:pPr>
        <w:pStyle w:val="ListParagraph"/>
        <w:numPr>
          <w:ilvl w:val="0"/>
          <w:numId w:val="2"/>
        </w:numPr>
        <w:spacing w:before="50" w:after="50"/>
      </w:pPr>
      <w:r>
        <w:rPr>
          <w:rFonts w:ascii="Arial" w:cs="Arial" w:eastAsia="Arial" w:hAnsi="Arial"/>
          <w:b/>
          <w:bCs/>
          <w:color w:val="222222"/>
          <w:sz w:val="21"/>
          <w:szCs w:val="21"/>
        </w:rPr>
        <w:t xml:space="preserve">Latency: </w:t>
      </w:r>
      <w:r>
        <w:rPr>
          <w:rFonts w:ascii="Arial" w:cs="Arial" w:eastAsia="Arial" w:hAnsi="Arial"/>
          <w:color w:val="222222"/>
          <w:sz w:val="21"/>
          <w:szCs w:val="21"/>
        </w:rPr>
        <w:t xml:space="preserve">classification and enrichment are fully independent and could run in parallel using FastAPI's async capabilities and asyncio.gather(). This would cut per-message latency nearly in half. The summary call depends on both and correctly runs last.</w:t>
      </w:r>
    </w:p>
    <w:p>
      <w:pPr>
        <w:pStyle w:val="ListParagraph"/>
        <w:numPr>
          <w:ilvl w:val="0"/>
          <w:numId w:val="2"/>
        </w:numPr>
        <w:spacing w:before="50" w:after="50"/>
      </w:pPr>
      <w:r>
        <w:rPr>
          <w:rFonts w:ascii="Arial" w:cs="Arial" w:eastAsia="Arial" w:hAnsi="Arial"/>
          <w:b/>
          <w:bCs/>
          <w:color w:val="222222"/>
          <w:sz w:val="21"/>
          <w:szCs w:val="21"/>
        </w:rPr>
        <w:t xml:space="preserve">Prompt versioning: </w:t>
      </w:r>
      <w:r>
        <w:rPr>
          <w:rFonts w:ascii="Arial" w:cs="Arial" w:eastAsia="Arial" w:hAnsi="Arial"/>
          <w:color w:val="222222"/>
          <w:sz w:val="21"/>
          <w:szCs w:val="21"/>
        </w:rPr>
        <w:t xml:space="preserve">move prompts out of Python files into a versioned config store so they can be updated, rolled back, and A/B tested without a code deployment.</w:t>
      </w:r>
    </w:p>
    <w:p>
      <w:pPr>
        <w:pStyle w:val="ListParagraph"/>
        <w:numPr>
          <w:ilvl w:val="0"/>
          <w:numId w:val="2"/>
        </w:numPr>
        <w:spacing w:before="50" w:after="50"/>
      </w:pPr>
      <w:r>
        <w:rPr>
          <w:rFonts w:ascii="Arial" w:cs="Arial" w:eastAsia="Arial" w:hAnsi="Arial"/>
          <w:b/>
          <w:bCs/>
          <w:color w:val="222222"/>
          <w:sz w:val="21"/>
          <w:szCs w:val="21"/>
        </w:rPr>
        <w:t xml:space="preserve">Model drift monitoring: </w:t>
      </w:r>
      <w:r>
        <w:rPr>
          <w:rFonts w:ascii="Arial" w:cs="Arial" w:eastAsia="Arial" w:hAnsi="Arial"/>
          <w:color w:val="222222"/>
          <w:sz w:val="21"/>
          <w:szCs w:val="21"/>
        </w:rPr>
        <w:t xml:space="preserve">log every classification result and run weekly accuracy checks against a labeled validation set to detect provider-side model drift before it impacts routing quality.</w:t>
      </w:r>
    </w:p>
    <w:p>
      <w:pPr>
        <w:spacing w:before="80" w:after="80"/>
      </w:pPr>
      <w:r>
        <w:t xml:space="preserve"/>
      </w:r>
    </w:p>
    <w:p>
      <w:pPr>
        <w:pBdr>
          <w:bottom w:val="single" w:color="2E75B6" w:sz="6" w:space="3"/>
        </w:pBdr>
        <w:spacing w:before="280" w:after="100"/>
      </w:pPr>
      <w:r>
        <w:rPr>
          <w:rFonts w:ascii="Arial" w:cs="Arial" w:eastAsia="Arial" w:hAnsi="Arial"/>
          <w:b/>
          <w:bCs/>
          <w:color w:val="1E3A5F"/>
          <w:sz w:val="26"/>
          <w:szCs w:val="26"/>
        </w:rPr>
        <w:t xml:space="preserve">5. Phase 2 — With One More Week</w:t>
      </w:r>
    </w:p>
    <w:p>
      <w:pPr>
        <w:spacing w:before="30" w:after="30"/>
      </w:pPr>
      <w:r>
        <w:t xml:space="preserve"/>
      </w:r>
    </w:p>
    <w:p>
      <w:pPr>
        <w:pStyle w:val="ListParagraph"/>
        <w:numPr>
          <w:ilvl w:val="0"/>
          <w:numId w:val="2"/>
        </w:numPr>
        <w:spacing w:before="50" w:after="50"/>
      </w:pPr>
      <w:r>
        <w:rPr>
          <w:rFonts w:ascii="Arial" w:cs="Arial" w:eastAsia="Arial" w:hAnsi="Arial"/>
          <w:b/>
          <w:bCs/>
          <w:color w:val="222222"/>
          <w:sz w:val="21"/>
          <w:szCs w:val="21"/>
        </w:rPr>
        <w:t xml:space="preserve">Live channel integrations: </w:t>
      </w:r>
      <w:r>
        <w:rPr>
          <w:rFonts w:ascii="Arial" w:cs="Arial" w:eastAsia="Arial" w:hAnsi="Arial"/>
          <w:color w:val="222222"/>
          <w:sz w:val="21"/>
          <w:szCs w:val="21"/>
        </w:rPr>
        <w:t xml:space="preserve">connect the FastAPI webhook directly to Gmail (via Gmail API), web form providers, and support portal APIs — replacing send_messages.py with real event sources. The webhook server is already production-ready for this.</w:t>
      </w:r>
    </w:p>
    <w:p>
      <w:pPr>
        <w:pStyle w:val="ListParagraph"/>
        <w:numPr>
          <w:ilvl w:val="0"/>
          <w:numId w:val="2"/>
        </w:numPr>
        <w:spacing w:before="50" w:after="50"/>
      </w:pPr>
      <w:r>
        <w:rPr>
          <w:rFonts w:ascii="Arial" w:cs="Arial" w:eastAsia="Arial" w:hAnsi="Arial"/>
          <w:b/>
          <w:bCs/>
          <w:color w:val="222222"/>
          <w:sz w:val="21"/>
          <w:szCs w:val="21"/>
        </w:rPr>
        <w:t xml:space="preserve">Customer context via RAG: </w:t>
      </w:r>
      <w:r>
        <w:rPr>
          <w:rFonts w:ascii="Arial" w:cs="Arial" w:eastAsia="Arial" w:hAnsi="Arial"/>
          <w:color w:val="222222"/>
          <w:sz w:val="21"/>
          <w:szCs w:val="21"/>
        </w:rPr>
        <w:t xml:space="preserve">look up the sender's account tier and ticket history before classification using any identifier extracted from the message. A Platinum customer's bug report warrants different routing and priority than a free-tier inquiry.</w:t>
      </w:r>
    </w:p>
    <w:p>
      <w:pPr>
        <w:pStyle w:val="ListParagraph"/>
        <w:numPr>
          <w:ilvl w:val="0"/>
          <w:numId w:val="2"/>
        </w:numPr>
        <w:spacing w:before="50" w:after="50"/>
      </w:pPr>
      <w:r>
        <w:rPr>
          <w:rFonts w:ascii="Arial" w:cs="Arial" w:eastAsia="Arial" w:hAnsi="Arial"/>
          <w:b/>
          <w:bCs/>
          <w:color w:val="222222"/>
          <w:sz w:val="21"/>
          <w:szCs w:val="21"/>
        </w:rPr>
        <w:t xml:space="preserve">Human feedback loop: </w:t>
      </w:r>
      <w:r>
        <w:rPr>
          <w:rFonts w:ascii="Arial" w:cs="Arial" w:eastAsia="Arial" w:hAnsi="Arial"/>
          <w:color w:val="222222"/>
          <w:sz w:val="21"/>
          <w:szCs w:val="21"/>
        </w:rPr>
        <w:t xml:space="preserve">add a verdict column to the Google Sheet. When agents resolve tickets they mark whether the classification was correct. Feed verified labels back as few-shot examples into the prompt over time, creating a self-improving classifier.</w:t>
      </w:r>
    </w:p>
    <w:p>
      <w:pPr>
        <w:pStyle w:val="ListParagraph"/>
        <w:numPr>
          <w:ilvl w:val="0"/>
          <w:numId w:val="2"/>
        </w:numPr>
        <w:spacing w:before="50" w:after="50"/>
      </w:pPr>
      <w:r>
        <w:rPr>
          <w:rFonts w:ascii="Arial" w:cs="Arial" w:eastAsia="Arial" w:hAnsi="Arial"/>
          <w:b/>
          <w:bCs/>
          <w:color w:val="222222"/>
          <w:sz w:val="21"/>
          <w:szCs w:val="21"/>
        </w:rPr>
        <w:t xml:space="preserve">Escalation notifications: </w:t>
      </w:r>
      <w:r>
        <w:rPr>
          <w:rFonts w:ascii="Arial" w:cs="Arial" w:eastAsia="Arial" w:hAnsi="Arial"/>
          <w:color w:val="222222"/>
          <w:sz w:val="21"/>
          <w:szCs w:val="21"/>
        </w:rPr>
        <w:t xml:space="preserve">push an immediate Slack or email alert to the on-call team when a record is escalated, with the summary and a direct Sheet link. Currently escalated records sit passively — in production the system should reach out proactively.</w:t>
      </w:r>
    </w:p>
    <w:p>
      <w:pPr>
        <w:pStyle w:val="ListParagraph"/>
        <w:numPr>
          <w:ilvl w:val="0"/>
          <w:numId w:val="2"/>
        </w:numPr>
        <w:spacing w:before="50" w:after="50"/>
      </w:pPr>
      <w:r>
        <w:rPr>
          <w:rFonts w:ascii="Arial" w:cs="Arial" w:eastAsia="Arial" w:hAnsi="Arial"/>
          <w:b/>
          <w:bCs/>
          <w:color w:val="222222"/>
          <w:sz w:val="21"/>
          <w:szCs w:val="21"/>
        </w:rPr>
        <w:t xml:space="preserve">Metrics dashboard: </w:t>
      </w:r>
      <w:r>
        <w:rPr>
          <w:rFonts w:ascii="Arial" w:cs="Arial" w:eastAsia="Arial" w:hAnsi="Arial"/>
          <w:color w:val="222222"/>
          <w:sz w:val="21"/>
          <w:szCs w:val="21"/>
        </w:rPr>
        <w:t xml:space="preserve">a read layer on the output Sheet showing volume by category, average confidence over time, escalation rate, and queue backlog per team — giving managers visibility without touching raw data.</w:t>
      </w:r>
    </w:p>
    <w:p>
      <w:pPr>
        <w:spacing w:before="80" w:after="80"/>
      </w:pPr>
      <w:r>
        <w:t xml:space="preserve"/>
      </w:r>
    </w:p>
    <w:sectPr>
      <w:foot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3"/>
      </w:pBdr>
      <w:spacing w:before="80"/>
    </w:pPr>
    <w:r>
      <w:rPr>
        <w:rFonts w:ascii="Arial" w:cs="Arial" w:eastAsia="Arial" w:hAnsi="Arial"/>
        <w:i/>
        <w:iCs/>
        <w:color w:val="555555"/>
        <w:sz w:val="17"/>
        <w:szCs w:val="17"/>
      </w:rPr>
      <w:t xml:space="preserve">ArcVault Triage Pipeline  |  Architecture Write-Up  |  Sajed Hamdan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2026-03-13T09:48:17.604Z</dcterms:created>
  <dcterms:modified xsi:type="dcterms:W3CDTF">2026-03-13T09:48:17.605Z</dcterms:modified>
</cp:coreProperties>
</file>

<file path=docProps/custom.xml><?xml version="1.0" encoding="utf-8"?>
<Properties xmlns="http://schemas.openxmlformats.org/officeDocument/2006/custom-properties" xmlns:vt="http://schemas.openxmlformats.org/officeDocument/2006/docPropsVTypes"/>
</file>