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rPr>
          <w:b/>
          <w:bCs/>
          <w:color w:val="1F3B57"/>
          <w:sz w:val="36"/>
          <w:szCs w:val="36"/>
        </w:rPr>
        <w:t xml:space="preserve">Component &amp; Credentials List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AI Customer Support Automation — Solution Architecture — Petalnex Pvt. Ltd.</w:t>
      </w:r>
    </w:p>
    <w:p>
      <w:pPr>
        <w:pBdr>
          <w:bottom w:val="single" w:color="1F7A8C" w:sz="8" w:space="4"/>
        </w:pBdr>
        <w:spacing w:after="100"/>
      </w:pPr>
      <w:r>
        <w:rPr>
          <w:sz w:val="2"/>
          <w:szCs w:val="2"/>
        </w:rPr>
        <w:t xml:space="preserve"/>
      </w:r>
    </w:p>
    <w:p>
      <w:pPr>
        <w:spacing w:after="100" w:before="240"/>
      </w:pPr>
      <w:r>
        <w:rPr>
          <w:b/>
          <w:bCs/>
          <w:color w:val="1F7A8C"/>
          <w:sz w:val="24"/>
          <w:szCs w:val="24"/>
        </w:rPr>
        <w:t xml:space="preserve">1. Node Groups &amp; Components</w:t>
      </w:r>
    </w:p>
    <w:tbl>
      <w:tblPr>
        <w:tblW w:type="dxa" w:w="9350"/>
        <w:tblBorders>
          <w:top w:val="single" w:color="C7D3D8" w:sz="3"/>
          <w:left w:val="single" w:color="C7D3D8" w:sz="3"/>
          <w:bottom w:val="single" w:color="C7D3D8" w:sz="3"/>
          <w:right w:val="single" w:color="C7D3D8" w:sz="3"/>
          <w:insideH w:val="single" w:color="C7D3D8" w:sz="3"/>
          <w:insideV w:val="single" w:color="C7D3D8" w:sz="3"/>
        </w:tblBorders>
      </w:tblPr>
      <w:tblGrid>
        <w:gridCol w:w="2500"/>
        <w:gridCol w:w="2500"/>
        <w:gridCol w:w="4350"/>
      </w:tblGrid>
      <w:tr>
        <w:tc>
          <w:tcPr>
            <w:tcW w:type="dxa" w:w="250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50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Integration</w:t>
            </w:r>
          </w:p>
        </w:tc>
        <w:tc>
          <w:tcPr>
            <w:tcW w:type="dxa" w:w="435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50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Inquiry Intake</w:t>
            </w:r>
          </w:p>
        </w:tc>
        <w:tc>
          <w:tcPr>
            <w:tcW w:type="dxa" w:w="250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n8n Form Trigger / webhook</w:t>
            </w:r>
          </w:p>
        </w:tc>
        <w:tc>
          <w:tcPr>
            <w:tcW w:type="dxa" w:w="435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Collects client name, email, associated project, and message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Field Validation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n8n If node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Confirms required fields are present before processing continues</w:t>
            </w:r>
          </w:p>
        </w:tc>
      </w:tr>
      <w:tr>
        <w:tc>
          <w:tcPr>
            <w:tcW w:type="dxa" w:w="250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AI Classification</w:t>
            </w:r>
          </w:p>
        </w:tc>
        <w:tc>
          <w:tcPr>
            <w:tcW w:type="dxa" w:w="250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Google Gemini</w:t>
            </w:r>
          </w:p>
        </w:tc>
        <w:tc>
          <w:tcPr>
            <w:tcW w:type="dxa" w:w="435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Categorizes inquiry into 7 types: Technical Issue, Integration/API, Project Status, Bug Report, Feature Request, Billing, General Inquiry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Sentiment Analysis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Google Gemini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Reads tone of the message to flag frustrated or at-risk clients</w:t>
            </w:r>
          </w:p>
        </w:tc>
      </w:tr>
      <w:tr>
        <w:tc>
          <w:tcPr>
            <w:tcW w:type="dxa" w:w="250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Priority Detection</w:t>
            </w:r>
          </w:p>
        </w:tc>
        <w:tc>
          <w:tcPr>
            <w:tcW w:type="dxa" w:w="250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n8n Code node + Gemini output</w:t>
            </w:r>
          </w:p>
        </w:tc>
        <w:tc>
          <w:tcPr>
            <w:tcW w:type="dxa" w:w="435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Combines rule-based signals with sentiment to assign High/Medium/Low urgency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Knowledge-Base Search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Supabase (pgvector) + Gemini embeddings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RAG search over project documentation and past resolved tickets</w:t>
            </w:r>
          </w:p>
        </w:tc>
      </w:tr>
      <w:tr>
        <w:tc>
          <w:tcPr>
            <w:tcW w:type="dxa" w:w="250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Suggested Response</w:t>
            </w:r>
          </w:p>
        </w:tc>
        <w:tc>
          <w:tcPr>
            <w:tcW w:type="dxa" w:w="250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Google Gemini</w:t>
            </w:r>
          </w:p>
        </w:tc>
        <w:tc>
          <w:tcPr>
            <w:tcW w:type="dxa" w:w="435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Drafts a reply grounded in knowledge-base search results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Human Review Gate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n8n Wait node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Pauses workflow for high-priority, negative-sentiment, or low-confidence tickets</w:t>
            </w:r>
          </w:p>
        </w:tc>
      </w:tr>
      <w:tr>
        <w:tc>
          <w:tcPr>
            <w:tcW w:type="dxa" w:w="250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Ticket Storage</w:t>
            </w:r>
          </w:p>
        </w:tc>
        <w:tc>
          <w:tcPr>
            <w:tcW w:type="dxa" w:w="250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Supabase (Postgres)</w:t>
            </w:r>
          </w:p>
        </w:tc>
        <w:tc>
          <w:tcPr>
            <w:tcW w:type="dxa" w:w="435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Stores category, priority, sentiment, status, suggested response, and audit trail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Client Notification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Gmail SMTP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Sends acknowledgement email to the client on intake, and outcome updates</w:t>
            </w:r>
          </w:p>
        </w:tc>
      </w:tr>
      <w:tr>
        <w:tc>
          <w:tcPr>
            <w:tcW w:type="dxa" w:w="250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Internal Notification</w:t>
            </w:r>
          </w:p>
        </w:tc>
        <w:tc>
          <w:tcPr>
            <w:tcW w:type="dxa" w:w="250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Gmail SMTP</w:t>
            </w:r>
          </w:p>
        </w:tc>
        <w:tc>
          <w:tcPr>
            <w:tcW w:type="dxa" w:w="435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Routes ticket to the right internal team (dev, PM, billing) based on category</w:t>
            </w:r>
          </w:p>
        </w:tc>
      </w:tr>
    </w:tbl>
    <w:p>
      <w:pPr>
        <w:spacing w:after="100" w:before="240"/>
      </w:pPr>
      <w:r>
        <w:rPr>
          <w:b/>
          <w:bCs/>
          <w:color w:val="1F7A8C"/>
          <w:sz w:val="24"/>
          <w:szCs w:val="24"/>
        </w:rPr>
        <w:t xml:space="preserve">2. Credentials</w:t>
      </w:r>
    </w:p>
    <w:tbl>
      <w:tblPr>
        <w:tblW w:type="dxa" w:w="9350"/>
        <w:tblBorders>
          <w:top w:val="single" w:color="C7D3D8" w:sz="3"/>
          <w:left w:val="single" w:color="C7D3D8" w:sz="3"/>
          <w:bottom w:val="single" w:color="C7D3D8" w:sz="3"/>
          <w:right w:val="single" w:color="C7D3D8" w:sz="3"/>
          <w:insideH w:val="single" w:color="C7D3D8" w:sz="3"/>
          <w:insideV w:val="single" w:color="C7D3D8" w:sz="3"/>
        </w:tblBorders>
      </w:tblPr>
      <w:tblGrid>
        <w:gridCol w:w="2500"/>
        <w:gridCol w:w="2500"/>
        <w:gridCol w:w="4350"/>
      </w:tblGrid>
      <w:tr>
        <w:tc>
          <w:tcPr>
            <w:tcW w:type="dxa" w:w="250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50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Credential Type</w:t>
            </w:r>
          </w:p>
        </w:tc>
        <w:tc>
          <w:tcPr>
            <w:tcW w:type="dxa" w:w="4350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Supabase Postgres + pgvector</w:t>
            </w:r>
          </w:p>
        </w:tc>
        <w:tc>
          <w:tcPr>
            <w:tcW w:type="dxa" w:w="250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Postgres credential (host, port, database, user, password, SSL mode)</w:t>
            </w:r>
          </w:p>
        </w:tc>
        <w:tc>
          <w:tcPr>
            <w:tcW w:type="dxa" w:w="435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Use Transaction pooler (port 6543) per lessons learned on the recruitment project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Google Gemini API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API key credential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Used for classification, sentiment, embeddings, and suggested response generation</w:t>
            </w:r>
          </w:p>
        </w:tc>
      </w:tr>
      <w:tr>
        <w:tc>
          <w:tcPr>
            <w:tcW w:type="dxa" w:w="250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Gmail SMTP</w:t>
            </w:r>
          </w:p>
        </w:tc>
        <w:tc>
          <w:tcPr>
            <w:tcW w:type="dxa" w:w="250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App password credential</w:t>
            </w:r>
          </w:p>
        </w:tc>
        <w:tc>
          <w:tcPr>
            <w:tcW w:type="dxa" w:w="4350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Used for both client acknowledgement and internal team notification emails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n8n instance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Self-hosted, Windows PowerShell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Access restricted to local/authorized network; workflows not publicly exposed</w:t>
            </w:r>
          </w:p>
        </w:tc>
      </w:tr>
    </w:tbl>
    <w:p>
      <w:pPr>
        <w:spacing w:after="100" w:before="240"/>
      </w:pPr>
      <w:r>
        <w:rPr>
          <w:b/>
          <w:bCs/>
          <w:color w:val="1F7A8C"/>
          <w:sz w:val="24"/>
          <w:szCs w:val="24"/>
        </w:rPr>
        <w:t xml:space="preserve">3. Failure Handling</w:t>
      </w:r>
    </w:p>
    <w:tbl>
      <w:tblPr>
        <w:tblW w:type="dxa" w:w="9350"/>
        <w:tblBorders>
          <w:top w:val="single" w:color="C7D3D8" w:sz="3"/>
          <w:left w:val="single" w:color="C7D3D8" w:sz="3"/>
          <w:bottom w:val="single" w:color="C7D3D8" w:sz="3"/>
          <w:right w:val="single" w:color="C7D3D8" w:sz="3"/>
          <w:insideH w:val="single" w:color="C7D3D8" w:sz="3"/>
          <w:insideV w:val="single" w:color="C7D3D8" w:sz="3"/>
        </w:tblBorders>
      </w:tblPr>
      <w:tblGrid>
        <w:gridCol w:w="3175"/>
        <w:gridCol w:w="6175"/>
      </w:tblGrid>
      <w:tr>
        <w:tc>
          <w:tcPr>
            <w:tcW w:type="dxa" w:w="3175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Failure Scenario</w:t>
            </w:r>
          </w:p>
        </w:tc>
        <w:tc>
          <w:tcPr>
            <w:tcW w:type="dxa" w:w="6175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Handling Approach</w:t>
            </w:r>
          </w:p>
        </w:tc>
      </w:tr>
      <w:tr>
        <w:tc>
          <w:tcPr>
            <w:tcW w:type="dxa" w:w="3175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Missing required fields</w:t>
            </w:r>
          </w:p>
        </w:tc>
        <w:tc>
          <w:tcPr>
            <w:tcW w:type="dxa" w:w="6175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If node blocks progression; submission logged, not silently dropped</w:t>
            </w:r>
          </w:p>
        </w:tc>
      </w:tr>
      <w:tr>
        <w:tc>
          <w:tcPr>
            <w:tcW w:type="dxa" w:w="31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Gemini API failure or timeout</w:t>
            </w:r>
          </w:p>
        </w:tc>
        <w:tc>
          <w:tcPr>
            <w:tcW w:type="dxa" w:w="61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Retry logic in Code node; structured failure object returned instead of throwing</w:t>
            </w:r>
          </w:p>
        </w:tc>
      </w:tr>
      <w:tr>
        <w:tc>
          <w:tcPr>
            <w:tcW w:type="dxa" w:w="3175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Malformed AI classification output</w:t>
            </w:r>
          </w:p>
        </w:tc>
        <w:tc>
          <w:tcPr>
            <w:tcW w:type="dxa" w:w="6175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Parsing/validation Code node checks structure before downstream use</w:t>
            </w:r>
          </w:p>
        </w:tc>
      </w:tr>
      <w:tr>
        <w:tc>
          <w:tcPr>
            <w:tcW w:type="dxa" w:w="31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Knowledge-base search returns no results</w:t>
            </w:r>
          </w:p>
        </w:tc>
        <w:tc>
          <w:tcPr>
            <w:tcW w:type="dxa" w:w="61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Falls back to a generic acknowledgement; ticket still routes to human review</w:t>
            </w:r>
          </w:p>
        </w:tc>
      </w:tr>
      <w:tr>
        <w:tc>
          <w:tcPr>
            <w:tcW w:type="dxa" w:w="3175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Email delivery failure</w:t>
            </w:r>
          </w:p>
        </w:tc>
        <w:tc>
          <w:tcPr>
            <w:tcW w:type="dxa" w:w="6175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Logged for manual follow-up; does not block ticket storage</w:t>
            </w:r>
          </w:p>
        </w:tc>
      </w:tr>
      <w:tr>
        <w:tc>
          <w:tcPr>
            <w:tcW w:type="dxa" w:w="31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Supabase connection failure</w:t>
            </w:r>
          </w:p>
        </w:tc>
        <w:tc>
          <w:tcPr>
            <w:tcW w:type="dxa" w:w="61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Credential validated at setup; SSL mode and pooler/direct connection selected per environment</w:t>
            </w:r>
          </w:p>
        </w:tc>
      </w:tr>
    </w:tbl>
    <w:p>
      <w:pPr>
        <w:spacing w:after="100" w:before="240"/>
      </w:pPr>
      <w:r>
        <w:rPr>
          <w:b/>
          <w:bCs/>
          <w:color w:val="1F7A8C"/>
          <w:sz w:val="24"/>
          <w:szCs w:val="24"/>
        </w:rPr>
        <w:t xml:space="preserve">4. Security Considerations</w:t>
      </w:r>
    </w:p>
    <w:tbl>
      <w:tblPr>
        <w:tblW w:type="dxa" w:w="9350"/>
        <w:tblBorders>
          <w:top w:val="single" w:color="C7D3D8" w:sz="3"/>
          <w:left w:val="single" w:color="C7D3D8" w:sz="3"/>
          <w:bottom w:val="single" w:color="C7D3D8" w:sz="3"/>
          <w:right w:val="single" w:color="C7D3D8" w:sz="3"/>
          <w:insideH w:val="single" w:color="C7D3D8" w:sz="3"/>
          <w:insideV w:val="single" w:color="C7D3D8" w:sz="3"/>
        </w:tblBorders>
      </w:tblPr>
      <w:tblGrid>
        <w:gridCol w:w="3175"/>
        <w:gridCol w:w="6175"/>
      </w:tblGrid>
      <w:tr>
        <w:tc>
          <w:tcPr>
            <w:tcW w:type="dxa" w:w="3175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175"/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</w:tr>
      <w:tr>
        <w:tc>
          <w:tcPr>
            <w:tcW w:type="dxa" w:w="3175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Credential storage</w:t>
            </w:r>
          </w:p>
        </w:tc>
        <w:tc>
          <w:tcPr>
            <w:tcW w:type="dxa" w:w="6175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All API keys and passwords stored in n8n's built-in credential store, never hardcoded in nodes</w:t>
            </w:r>
          </w:p>
        </w:tc>
      </w:tr>
      <w:tr>
        <w:tc>
          <w:tcPr>
            <w:tcW w:type="dxa" w:w="31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 minimization</w:t>
            </w:r>
          </w:p>
        </w:tc>
        <w:tc>
          <w:tcPr>
            <w:tcW w:type="dxa" w:w="61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Only fields required for triage and resolution are stored</w:t>
            </w:r>
          </w:p>
        </w:tc>
      </w:tr>
      <w:tr>
        <w:tc>
          <w:tcPr>
            <w:tcW w:type="dxa" w:w="3175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Human-in-the-loop</w:t>
            </w:r>
          </w:p>
        </w:tc>
        <w:tc>
          <w:tcPr>
            <w:tcW w:type="dxa" w:w="6175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High-priority, negative-sentiment, or low-confidence tickets always route to a human before a response is sent</w:t>
            </w:r>
          </w:p>
        </w:tc>
      </w:tr>
      <w:tr>
        <w:tc>
          <w:tcPr>
            <w:tcW w:type="dxa" w:w="31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61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n8n instance and Supabase project restricted to authorized internship/team accounts</w:t>
            </w:r>
          </w:p>
        </w:tc>
      </w:tr>
      <w:tr>
        <w:tc>
          <w:tcPr>
            <w:tcW w:type="dxa" w:w="3175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6175"/>
            <w:shd w:fill="E7ED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Every classification, priority, sentiment score, and human decision is timestamped and stored in Postgres</w:t>
            </w:r>
          </w:p>
        </w:tc>
      </w:tr>
    </w:tbl>
    <w:p>
      <w:pPr>
        <w:spacing w:before="300"/>
      </w:pPr>
    </w:p>
    <w:p>
      <w:pPr>
        <w:pBdr>
          <w:top w:val="single" w:color="D0DCE2" w:sz="4" w:space="4"/>
        </w:pBdr>
        <w:spacing w:before="100"/>
      </w:pPr>
      <w:r>
        <w:rPr>
          <w:color w:val="666666"/>
          <w:sz w:val="17"/>
          <w:szCs w:val="17"/>
        </w:rPr>
        <w:t xml:space="preserve">Petalnex Pvt. Ltd. • AI Automation Internship • Customer Support Capstone Deliverable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2026-08-19T06:31:42.506Z</dcterms:created>
  <dcterms:modified xsi:type="dcterms:W3CDTF">2026-08-19T06:31:42.534Z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