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For EE8204singleLabelFourClasses.ipynb and EE8204multiLabelClassification.ipynb: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Download the “tfrecords files” zip file in this drive(called “tfRecordsFiles.zip”), then change the “newPath” variable in the respective jupyter notebooks to point to the location where you downloaded it. After that, you can run the cells in order in Jupyter Notebook to get the results. To change some hyperparameters you will need to change some of the cells and comment out some of the things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For EE8204LoadingAndRunning.ipynb: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Just download the “ReadyData” folder in this drive and put the ipynb file in the same location as those files(All of the files are in either .npy format or in csv format) Then you can run it directly.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The .py version of the files are in the “py versions of files” folder in this drive just in case. However, it is not tested and you might need to comment out some of the things to make it work properly.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original data is the tfRecordsFiles.zip and processed one is in the ReadyData folder.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 Report: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final report and tex document is called EE8204FinalProjectReport.pdf EE8204FinalProjectReport.tex and they are in the Final Project Report folder. The figures are in the “Figures” folder.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