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6BBA" w14:textId="77777777" w:rsidR="00C43972" w:rsidRDefault="00000000">
      <w:pPr>
        <w:numPr>
          <w:ilvl w:val="0"/>
          <w:numId w:val="1"/>
        </w:numPr>
      </w:pPr>
      <w:r>
        <w:t>Must consider the variable ‘Gender’ because most metrics are dependent on gender. Not available on the current dataset.</w:t>
      </w:r>
    </w:p>
    <w:p w14:paraId="6A826E13" w14:textId="77777777" w:rsidR="00C43972" w:rsidRDefault="00000000">
      <w:pPr>
        <w:numPr>
          <w:ilvl w:val="0"/>
          <w:numId w:val="1"/>
        </w:numPr>
      </w:pPr>
      <w:r>
        <w:t>Age</w:t>
      </w:r>
    </w:p>
    <w:p w14:paraId="28C5AEE3" w14:textId="77777777" w:rsidR="00C43972" w:rsidRDefault="00C4397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785"/>
        <w:gridCol w:w="3120"/>
      </w:tblGrid>
      <w:tr w:rsidR="00C43972" w14:paraId="56DC801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0817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B17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*Normal Range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A7F1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C43972" w14:paraId="7C1AFCD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233B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Bmi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6F77" w14:textId="77777777" w:rsidR="00C4397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 18.5 - Underweight </w:t>
            </w:r>
          </w:p>
          <w:p w14:paraId="093F0AB1" w14:textId="77777777" w:rsidR="00C4397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18.5 &lt; BMI &lt; 24.9 - Healthy Weight</w:t>
            </w:r>
          </w:p>
          <w:p w14:paraId="5289CF56" w14:textId="77777777" w:rsidR="00C4397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25.0 &lt; BMI &lt; 29.9 Overweight </w:t>
            </w:r>
          </w:p>
          <w:p w14:paraId="0BE40870" w14:textId="77777777" w:rsidR="00C4397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30.0 &gt;= BMI - Obese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2C73" w14:textId="2EA55008" w:rsidR="004864AF" w:rsidRDefault="0048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Directly effects on Weight gain and loss fact.</w:t>
            </w:r>
          </w:p>
          <w:p w14:paraId="46245D45" w14:textId="6A976AEC" w:rsidR="00C43972" w:rsidRDefault="00486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CA060F">
                <w:rPr>
                  <w:rStyle w:val="Hyperlink"/>
                </w:rPr>
                <w:t>https://www.cdc.gov/healthyweight/assessing/index.html#:~:text=If%20your%20BMI%20is%20less,falls%20within%20the%20obese%20range</w:t>
              </w:r>
            </w:hyperlink>
            <w:r w:rsidR="00000000">
              <w:t xml:space="preserve">. </w:t>
            </w:r>
          </w:p>
        </w:tc>
      </w:tr>
      <w:tr w:rsidR="00C43972" w14:paraId="40A9529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25E9" w14:textId="77777777" w:rsidR="00C43972" w:rsidRDefault="00000000">
            <w:pPr>
              <w:widowControl w:val="0"/>
              <w:spacing w:line="240" w:lineRule="auto"/>
            </w:pPr>
            <w:proofErr w:type="spellStart"/>
            <w:r>
              <w:t>Body_fat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2DD6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Age</w:t>
            </w:r>
            <w:proofErr w:type="gramEnd"/>
            <w:r>
              <w:tab/>
              <w:t>Women    Men</w:t>
            </w:r>
          </w:p>
          <w:p w14:paraId="30CC74E9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  <w:r>
              <w:tab/>
              <w:t>17.7%</w:t>
            </w:r>
            <w:r>
              <w:tab/>
              <w:t xml:space="preserve">    8.5%</w:t>
            </w:r>
          </w:p>
          <w:p w14:paraId="2EADE663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  <w:r>
              <w:tab/>
              <w:t>18.4%</w:t>
            </w:r>
            <w:r>
              <w:tab/>
              <w:t xml:space="preserve">    10.5%</w:t>
            </w:r>
          </w:p>
          <w:p w14:paraId="606C3257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>
              <w:tab/>
              <w:t>19.3%</w:t>
            </w:r>
            <w:r>
              <w:tab/>
              <w:t xml:space="preserve">    12.7%</w:t>
            </w:r>
          </w:p>
          <w:p w14:paraId="31D40D4C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  <w:r>
              <w:tab/>
              <w:t>21.5%</w:t>
            </w:r>
            <w:r>
              <w:tab/>
              <w:t xml:space="preserve">    13.7%</w:t>
            </w:r>
          </w:p>
          <w:p w14:paraId="2F0EE059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>
              <w:tab/>
              <w:t>22.2%</w:t>
            </w:r>
            <w:r>
              <w:tab/>
              <w:t xml:space="preserve">    15.3%</w:t>
            </w:r>
          </w:p>
          <w:p w14:paraId="68C17199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  <w:r>
              <w:tab/>
              <w:t>22.9%</w:t>
            </w:r>
            <w:r>
              <w:tab/>
              <w:t xml:space="preserve">    16.4%</w:t>
            </w:r>
          </w:p>
          <w:p w14:paraId="602FEE6B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  <w:r>
              <w:tab/>
              <w:t>25.2%</w:t>
            </w:r>
            <w:r>
              <w:tab/>
              <w:t xml:space="preserve">    18.9%</w:t>
            </w:r>
          </w:p>
          <w:p w14:paraId="29DA7808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</w:t>
            </w:r>
            <w:r>
              <w:tab/>
              <w:t>26.3%</w:t>
            </w:r>
            <w:r>
              <w:tab/>
              <w:t xml:space="preserve">    20.9%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99BB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https://www.calculator.net/body-fat-calculator.html</w:t>
              </w:r>
            </w:hyperlink>
            <w:r>
              <w:t xml:space="preserve"> </w:t>
            </w:r>
          </w:p>
          <w:p w14:paraId="32857812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C1BE9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anchor="men">
              <w:r>
                <w:rPr>
                  <w:color w:val="1155CC"/>
                  <w:u w:val="single"/>
                </w:rPr>
                <w:t>https://www.medicalnewstoday.com/articles/body-fat-percentage-chart#men</w:t>
              </w:r>
            </w:hyperlink>
            <w:r>
              <w:t xml:space="preserve"> </w:t>
            </w:r>
          </w:p>
          <w:p w14:paraId="79A79D85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52FC64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https://www.webmd.com/fitness-exercise/what-is-body-composition</w:t>
              </w:r>
            </w:hyperlink>
            <w:r>
              <w:t xml:space="preserve"> </w:t>
            </w:r>
          </w:p>
        </w:tc>
      </w:tr>
      <w:tr w:rsidR="00C43972" w14:paraId="05783B7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F831" w14:textId="77777777" w:rsidR="00C43972" w:rsidRDefault="00000000">
            <w:pPr>
              <w:widowControl w:val="0"/>
              <w:spacing w:line="240" w:lineRule="auto"/>
            </w:pPr>
            <w:r>
              <w:t>Glucose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5661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45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47"/>
              <w:gridCol w:w="1146"/>
              <w:gridCol w:w="1146"/>
              <w:gridCol w:w="1146"/>
            </w:tblGrid>
            <w:tr w:rsidR="00C43972" w14:paraId="68E40000" w14:textId="77777777"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D9444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DC40E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Normal fasting glucose without diabetes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70E45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Target glucose range for type 1 diabetes before meals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B6E51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Target glucose range for type 1 diabetes at bedtime</w:t>
                  </w:r>
                </w:p>
              </w:tc>
            </w:tr>
            <w:tr w:rsidR="00C43972" w14:paraId="0F2A890E" w14:textId="77777777"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0F365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Adults and children 13-19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E612AE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70-100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75E66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90-130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D49F1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90-150 mg/DL</w:t>
                  </w:r>
                </w:p>
              </w:tc>
            </w:tr>
            <w:tr w:rsidR="00C43972" w14:paraId="33118C8E" w14:textId="77777777"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8A424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Children 6-12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1DF2EA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70-100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BBF9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90-180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40571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100-180 mg/DL</w:t>
                  </w:r>
                </w:p>
              </w:tc>
            </w:tr>
            <w:tr w:rsidR="00C43972" w14:paraId="378857BD" w14:textId="77777777"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E885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Children under 6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A145B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70-100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B98F6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100-180 mg/DL</w:t>
                  </w:r>
                </w:p>
              </w:tc>
              <w:tc>
                <w:tcPr>
                  <w:tcW w:w="1146" w:type="dxa"/>
                  <w:tcBorders>
                    <w:top w:val="single" w:sz="6" w:space="0" w:color="948F99"/>
                    <w:left w:val="single" w:sz="6" w:space="0" w:color="948F99"/>
                    <w:bottom w:val="single" w:sz="6" w:space="0" w:color="948F99"/>
                    <w:right w:val="single" w:sz="6" w:space="0" w:color="948F9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7EE28" w14:textId="77777777" w:rsidR="00C43972" w:rsidRDefault="00000000">
                  <w:pPr>
                    <w:widowControl w:val="0"/>
                    <w:spacing w:line="240" w:lineRule="auto"/>
                    <w:rPr>
                      <w:color w:val="1C0E40"/>
                      <w:sz w:val="16"/>
                      <w:szCs w:val="16"/>
                    </w:rPr>
                  </w:pPr>
                  <w:r>
                    <w:rPr>
                      <w:color w:val="1C0E40"/>
                      <w:sz w:val="16"/>
                      <w:szCs w:val="16"/>
                    </w:rPr>
                    <w:t>110 to 200 mg/DL</w:t>
                  </w:r>
                </w:p>
              </w:tc>
            </w:tr>
          </w:tbl>
          <w:p w14:paraId="049AB406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ECCC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indicate type 1 diabetes or type 2 diabetes. (or Gestational diabetes)</w:t>
            </w:r>
          </w:p>
          <w:p w14:paraId="11A124CE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0DAC61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https://www.who.int/news-room/fact-sheets/detail/diabetes</w:t>
              </w:r>
            </w:hyperlink>
            <w:r>
              <w:t xml:space="preserve"> </w:t>
            </w:r>
          </w:p>
          <w:p w14:paraId="1D9AF243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CB2E7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https://www.health.com/normal-blood-sugar-7559012</w:t>
              </w:r>
            </w:hyperlink>
            <w:r>
              <w:t xml:space="preserve"> </w:t>
            </w:r>
          </w:p>
        </w:tc>
      </w:tr>
      <w:tr w:rsidR="00C43972" w14:paraId="17BD7BA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D4C9" w14:textId="77777777" w:rsidR="00C43972" w:rsidRDefault="00000000">
            <w:pPr>
              <w:widowControl w:val="0"/>
              <w:spacing w:line="240" w:lineRule="auto"/>
            </w:pPr>
            <w:r>
              <w:t>Height/ Weight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28B2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E9F1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https://www.disabled-world.com/calculators-charts/height-weight.php</w:t>
              </w:r>
            </w:hyperlink>
            <w:r>
              <w:t xml:space="preserve"> </w:t>
            </w:r>
          </w:p>
        </w:tc>
      </w:tr>
      <w:tr w:rsidR="00C43972" w14:paraId="19FD941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84" w14:textId="77777777" w:rsidR="00C43972" w:rsidRDefault="00000000">
            <w:pPr>
              <w:widowControl w:val="0"/>
              <w:spacing w:line="240" w:lineRule="auto"/>
            </w:pPr>
            <w:r>
              <w:t xml:space="preserve">Tc/ </w:t>
            </w:r>
            <w:proofErr w:type="spellStart"/>
            <w:r>
              <w:t>tg</w:t>
            </w:r>
            <w:proofErr w:type="spellEnd"/>
            <w:r>
              <w:t xml:space="preserve">/ </w:t>
            </w:r>
            <w:proofErr w:type="spellStart"/>
            <w:r>
              <w:t>hdl</w:t>
            </w:r>
            <w:proofErr w:type="spellEnd"/>
            <w:r>
              <w:t xml:space="preserve">/ </w:t>
            </w:r>
            <w:proofErr w:type="spellStart"/>
            <w:r>
              <w:t>ldl</w:t>
            </w:r>
            <w:proofErr w:type="spellEnd"/>
            <w:r>
              <w:t xml:space="preserve">/ </w:t>
            </w:r>
            <w:proofErr w:type="spellStart"/>
            <w:r>
              <w:t>tc_hdl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692B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0F1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https://my.clevelandclinic.org/health/articles/11920-cholesterol-numbers-what-do-they-mean</w:t>
              </w:r>
            </w:hyperlink>
            <w:r>
              <w:t xml:space="preserve"> </w:t>
            </w:r>
          </w:p>
        </w:tc>
      </w:tr>
      <w:tr w:rsidR="00C43972" w14:paraId="732720A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F778" w14:textId="77777777" w:rsidR="00C43972" w:rsidRDefault="00000000">
            <w:pPr>
              <w:widowControl w:val="0"/>
              <w:spacing w:line="240" w:lineRule="auto"/>
            </w:pPr>
            <w:proofErr w:type="spellStart"/>
            <w:r>
              <w:t>Bp_dias</w:t>
            </w:r>
            <w:proofErr w:type="spellEnd"/>
            <w:r>
              <w:t xml:space="preserve">/ </w:t>
            </w:r>
            <w:proofErr w:type="spellStart"/>
            <w:r>
              <w:lastRenderedPageBreak/>
              <w:t>Bp_sys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8A83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45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47"/>
              <w:gridCol w:w="1146"/>
              <w:gridCol w:w="1146"/>
              <w:gridCol w:w="1146"/>
            </w:tblGrid>
            <w:tr w:rsidR="00C43972" w14:paraId="6BA705BF" w14:textId="77777777">
              <w:trPr>
                <w:trHeight w:val="420"/>
              </w:trPr>
              <w:tc>
                <w:tcPr>
                  <w:tcW w:w="2292" w:type="dxa"/>
                  <w:gridSpan w:val="2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EAE36" w14:textId="77777777" w:rsidR="00C43972" w:rsidRDefault="00000000">
                  <w:pPr>
                    <w:widowControl w:val="0"/>
                    <w:spacing w:line="240" w:lineRule="auto"/>
                    <w:jc w:val="center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b/>
                      <w:color w:val="212529"/>
                      <w:sz w:val="16"/>
                      <w:szCs w:val="16"/>
                    </w:rPr>
                    <w:lastRenderedPageBreak/>
                    <w:t>The Seventh Report of the Joint National Committee on Prevention, Detection, Evaluation, and Treatment of High Blood Pressure (2003 Guideline)2</w:t>
                  </w:r>
                </w:p>
              </w:tc>
              <w:tc>
                <w:tcPr>
                  <w:tcW w:w="2292" w:type="dxa"/>
                  <w:gridSpan w:val="2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E39AA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The American College of Cardiology/American Heart Association Guideline for the Prevention, Detection, Evaluation, and Management of High Blood Pressure in Adults (2017 Guideline)1</w:t>
                  </w:r>
                </w:p>
              </w:tc>
            </w:tr>
            <w:tr w:rsidR="00C43972" w14:paraId="5C163CC5" w14:textId="77777777"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46C2C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68A29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less than 120 mm Hg</w:t>
                  </w:r>
                </w:p>
                <w:p w14:paraId="33EF06E3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less than 80 mm Hg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7F60C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7246B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less than 120 mm Hg</w:t>
                  </w:r>
                </w:p>
                <w:p w14:paraId="6C9CF2A9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less than 80 mm Hg</w:t>
                  </w:r>
                </w:p>
              </w:tc>
            </w:tr>
            <w:tr w:rsidR="00C43972" w14:paraId="589903CD" w14:textId="77777777"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649AD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At Risk (prehypertension)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E55235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120–139 mm Hg</w:t>
                  </w:r>
                </w:p>
                <w:p w14:paraId="4F8F855B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80–89 mm Hg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BE68C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Elevated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877AF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120–129 mm Hg</w:t>
                  </w:r>
                </w:p>
                <w:p w14:paraId="5EA41A7D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less than 80 mm Hg</w:t>
                  </w:r>
                </w:p>
              </w:tc>
            </w:tr>
            <w:tr w:rsidR="00C43972" w14:paraId="353D2E81" w14:textId="77777777"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3B9E0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High Blood Pressure (hypertension)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EDE8E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6E7727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140 mm Hg or higher</w:t>
                  </w:r>
                </w:p>
                <w:p w14:paraId="00DDF687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90 mm Hg or higher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75270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High blood pressure (hypertension)</w:t>
                  </w:r>
                </w:p>
              </w:tc>
              <w:tc>
                <w:tcPr>
                  <w:tcW w:w="1146" w:type="dxa"/>
                  <w:tcBorders>
                    <w:top w:val="single" w:sz="6" w:space="0" w:color="DEE2E6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271C5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systolic: 130 mm Hg or higher</w:t>
                  </w:r>
                </w:p>
                <w:p w14:paraId="37438B20" w14:textId="77777777" w:rsidR="00C43972" w:rsidRDefault="00000000">
                  <w:pPr>
                    <w:widowControl w:val="0"/>
                    <w:spacing w:line="240" w:lineRule="auto"/>
                    <w:rPr>
                      <w:color w:val="212529"/>
                      <w:sz w:val="16"/>
                      <w:szCs w:val="16"/>
                    </w:rPr>
                  </w:pPr>
                  <w:r>
                    <w:rPr>
                      <w:color w:val="212529"/>
                      <w:sz w:val="16"/>
                      <w:szCs w:val="16"/>
                    </w:rPr>
                    <w:t>diastolic: 80 mm Hg or higher</w:t>
                  </w:r>
                </w:p>
              </w:tc>
            </w:tr>
          </w:tbl>
          <w:p w14:paraId="072DE994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76A9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https://www.cdc.gov/bloodpre</w:t>
              </w:r>
              <w:r>
                <w:rPr>
                  <w:color w:val="1155CC"/>
                  <w:u w:val="single"/>
                </w:rPr>
                <w:lastRenderedPageBreak/>
                <w:t>ssure/about.htm</w:t>
              </w:r>
            </w:hyperlink>
            <w:r>
              <w:t xml:space="preserve"> </w:t>
            </w:r>
          </w:p>
          <w:p w14:paraId="00E2E519" w14:textId="77777777" w:rsidR="00C43972" w:rsidRDefault="00C439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7BB04C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https://www.webmd.com/hypertension-high-blood-pressure/diastolic-and-systolic-blood-pressure-know-your-numbers</w:t>
              </w:r>
            </w:hyperlink>
            <w:r>
              <w:t xml:space="preserve"> </w:t>
            </w:r>
          </w:p>
        </w:tc>
      </w:tr>
      <w:tr w:rsidR="00C43972" w14:paraId="374066FD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E811" w14:textId="77777777" w:rsidR="00C43972" w:rsidRDefault="00000000">
            <w:pPr>
              <w:widowControl w:val="0"/>
              <w:spacing w:line="240" w:lineRule="auto"/>
            </w:pPr>
            <w:r>
              <w:lastRenderedPageBreak/>
              <w:t>hba1c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A420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HbA1c &lt; 5.7 % - Normal, or in the non-diabetic range</w:t>
            </w:r>
          </w:p>
          <w:p w14:paraId="767F3231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5.7 % &lt; HbA1c &lt; 6.4 % - Prediabetic, while diabetes can be diagnosed with a HbA1c of 6.5% or higher.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8873" w14:textId="77777777" w:rsidR="00C439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 w:anchor=":~:text=For%20an%20HbA1c%20test%20to,HbA1c%20of%206.5%25%20or%20higher">
              <w:r>
                <w:rPr>
                  <w:color w:val="1155CC"/>
                  <w:u w:val="single"/>
                </w:rPr>
                <w:t>https://www.ncbi.nlm.nih.gov/books/NBK549816/#:~:text=For%20an%20HbA1c%20test%20to,HbA1c%20of%206.5%25%20or%20higher</w:t>
              </w:r>
            </w:hyperlink>
            <w:r>
              <w:t xml:space="preserve">. </w:t>
            </w:r>
          </w:p>
        </w:tc>
      </w:tr>
    </w:tbl>
    <w:p w14:paraId="3CBBCF21" w14:textId="77777777" w:rsidR="00C43972" w:rsidRDefault="00C43972"/>
    <w:p w14:paraId="15C7A1E2" w14:textId="46BCD90E" w:rsidR="00746F4E" w:rsidRDefault="00746F4E">
      <w:r>
        <w:br w:type="page"/>
      </w:r>
    </w:p>
    <w:p w14:paraId="4EC31ACC" w14:textId="77777777" w:rsidR="006A2474" w:rsidRDefault="006A2474"/>
    <w:sectPr w:rsidR="006A24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F32F1"/>
    <w:multiLevelType w:val="multilevel"/>
    <w:tmpl w:val="FCF0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22B9"/>
    <w:multiLevelType w:val="hybridMultilevel"/>
    <w:tmpl w:val="7E5881F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85B5C46"/>
    <w:multiLevelType w:val="multilevel"/>
    <w:tmpl w:val="625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6195"/>
    <w:multiLevelType w:val="hybridMultilevel"/>
    <w:tmpl w:val="CEFE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B3873"/>
    <w:multiLevelType w:val="multilevel"/>
    <w:tmpl w:val="BFF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F3578"/>
    <w:multiLevelType w:val="multilevel"/>
    <w:tmpl w:val="EE76B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B03988"/>
    <w:multiLevelType w:val="multilevel"/>
    <w:tmpl w:val="9C226F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881250">
    <w:abstractNumId w:val="6"/>
  </w:num>
  <w:num w:numId="2" w16cid:durableId="2026133490">
    <w:abstractNumId w:val="5"/>
  </w:num>
  <w:num w:numId="3" w16cid:durableId="1782646473">
    <w:abstractNumId w:val="2"/>
  </w:num>
  <w:num w:numId="4" w16cid:durableId="125054772">
    <w:abstractNumId w:val="4"/>
  </w:num>
  <w:num w:numId="5" w16cid:durableId="242565081">
    <w:abstractNumId w:val="0"/>
  </w:num>
  <w:num w:numId="6" w16cid:durableId="1324626260">
    <w:abstractNumId w:val="1"/>
  </w:num>
  <w:num w:numId="7" w16cid:durableId="69993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72"/>
    <w:rsid w:val="004864AF"/>
    <w:rsid w:val="006A2474"/>
    <w:rsid w:val="007314BD"/>
    <w:rsid w:val="00746F4E"/>
    <w:rsid w:val="00B31B24"/>
    <w:rsid w:val="00C43972"/>
    <w:rsid w:val="00E0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D41"/>
  <w15:docId w15:val="{B58D3C85-A96B-4F4C-BF59-E0445CE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6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46F4E"/>
    <w:rPr>
      <w:b/>
      <w:bCs/>
    </w:rPr>
  </w:style>
  <w:style w:type="paragraph" w:styleId="ListParagraph">
    <w:name w:val="List Paragraph"/>
    <w:basedOn w:val="Normal"/>
    <w:uiPriority w:val="34"/>
    <w:qFormat/>
    <w:rsid w:val="006A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fitness-exercise/what-is-body-composition" TargetMode="External"/><Relationship Id="rId13" Type="http://schemas.openxmlformats.org/officeDocument/2006/relationships/hyperlink" Target="https://www.cdc.gov/bloodpressure/abou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alnewstoday.com/articles/body-fat-percentage-chart" TargetMode="External"/><Relationship Id="rId12" Type="http://schemas.openxmlformats.org/officeDocument/2006/relationships/hyperlink" Target="https://my.clevelandclinic.org/health/articles/11920-cholesterol-numbers-what-do-they-me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body-fat-calculator.html" TargetMode="External"/><Relationship Id="rId11" Type="http://schemas.openxmlformats.org/officeDocument/2006/relationships/hyperlink" Target="https://www.disabled-world.com/calculators-charts/height-weight.php" TargetMode="External"/><Relationship Id="rId5" Type="http://schemas.openxmlformats.org/officeDocument/2006/relationships/hyperlink" Target="https://www.cdc.gov/healthyweight/assessing/index.html#:~:text=If%20your%20BMI%20is%20less,falls%20within%20the%20obese%20range" TargetMode="External"/><Relationship Id="rId15" Type="http://schemas.openxmlformats.org/officeDocument/2006/relationships/hyperlink" Target="https://www.ncbi.nlm.nih.gov/books/NBK549816/" TargetMode="External"/><Relationship Id="rId10" Type="http://schemas.openxmlformats.org/officeDocument/2006/relationships/hyperlink" Target="https://www.health.com/normal-blood-sugar-7559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diabetes" TargetMode="External"/><Relationship Id="rId14" Type="http://schemas.openxmlformats.org/officeDocument/2006/relationships/hyperlink" Target="https://www.webmd.com/hypertension-high-blood-pressure/diastolic-and-systolic-blood-pressure-know-your-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Tharumarasa Sajeepan</cp:lastModifiedBy>
  <cp:revision>3</cp:revision>
  <dcterms:created xsi:type="dcterms:W3CDTF">2024-06-03T20:21:00Z</dcterms:created>
  <dcterms:modified xsi:type="dcterms:W3CDTF">2024-06-04T05:53:00Z</dcterms:modified>
</cp:coreProperties>
</file>