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Basic Overview of the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 dataset consists of a set of diet plan records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**Number of Observations:** [Number of Rows]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**Number of Variables:** [Number of Columns]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**Description of Variables:**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**Variable 1:** [Description, Type (Numerical/Categorical), Example Values]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**Variable 2:** [Description, Type (Numerical/Categorical), Example Values]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**Variable 3:** [Description, Type (Numerical/Categorical), Example Values]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Example: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**Dataset Name:** Customer Purchase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**Source:** Online Retail Store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**Number of Observations:** 10,000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**Number of Variables:** 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**Description of Variables:**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**CustomerID:** Unique identifier for each customer (Categorical, e.g., C001, C002)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**Age:** Age of the customer (Numerical, e.g., 25,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