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Coins vs Token: What's the difference ?</w:t>
      </w:r>
    </w:p>
    <w:p w:rsidR="00000000" w:rsidDel="00000000" w:rsidP="00000000" w:rsidRDefault="00000000" w:rsidRPr="00000000" w14:paraId="0000000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already learned what coins and tokens are.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0" w:before="0" w:line="308.571428571428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the differences at a glance and finally an application example: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308.571428571428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Digital currency similar to a physical currency such as the Euro.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Digitaler Vermögenswert für ein bestimmtes Projekt.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Crypto-Exchanges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Crypto-Exchanges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Have their own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308.5714285714286" w:lineRule="auto"/>
              <w:rPr>
                <w:rFonts w:ascii="Calibri" w:cs="Calibri" w:eastAsia="Calibri" w:hAnsi="Calibri"/>
                <w:b w:val="1"/>
                <w:color w:val="202124"/>
                <w:sz w:val="42"/>
                <w:szCs w:val="42"/>
                <w:shd w:fill="f8f9fa" w:val="clear"/>
              </w:rPr>
            </w:pPr>
            <w:r w:rsidDel="00000000" w:rsidR="00000000" w:rsidRPr="00000000">
              <w:rPr>
                <w:rFonts w:ascii="Calibri" w:cs="Calibri" w:eastAsia="Calibri" w:hAnsi="Calibri"/>
                <w:b w:val="1"/>
                <w:sz w:val="24"/>
                <w:szCs w:val="24"/>
                <w:rtl w:val="0"/>
              </w:rPr>
              <w:t xml:space="preserve">No own blockchain, use existing 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Mainly as means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Multiple uses: means of payment, NFT, smart contracts etc…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Finally, a visual example from our everyday life: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Depicted on the basis of a Tonie Box for children. The Tonie Box is a kind of CD player only with figures that replace the CD and you can also play your own music on the figures.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Tonie Box does not work without the Tonies and is worthless. Likewise, the Tonies cannot function without the Tonie Box.</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Tonies have a variety of functions. They can be played, music or audio books can be recorded.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Tokens can also be programmed in many ways. You create automated contracts (smart contracts) or trade assets such as real estate, shares and company shares. However, tokens are based on an existing blockchain, without which they are worthless.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