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Was ist Decentraland (MANA)?</w:t>
      </w:r>
    </w:p>
    <w:p w:rsidR="00000000" w:rsidDel="00000000" w:rsidP="00000000" w:rsidRDefault="00000000" w:rsidRPr="00000000" w14:paraId="00000002">
      <w:pPr>
        <w:spacing w:line="276" w:lineRule="auto"/>
        <w:rPr>
          <w:b w:val="1"/>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Decentraland (kurz MANA) ist ein Ethereum-Token, der zur Versorgung der Virtual-Reality-Plattform Decentraland genutzt wird. MANA kann zur Bezahlung von virtuellem Land wie auch von Waren und Dienstleistungen in Decentraland eingesetzt werden.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Decentraland selbst ist eine dezentralisierte 3D-Plattform für virtuelle Realität, die aus 90.601 Parzellen virtuellem Land besteht und auf der die Blockchaintechnologie basiert.</w:t>
        <w:br w:type="textWrapping"/>
        <w:t xml:space="preserve">Nutzer können digitale Grundstücke, Kunstwerke und NFTs entwickeln, kaufen und besitzen. Im Decentraland kann man eine komplett virtuelle Welt erleben. Du kannst es dir wie "echtes Land“ vorstellen, beispielsweise wenn Du in Hamburg ein Grundstück kaufst, kannst Du darauf errichten was Du möchtest: Häuser, Kino, Sportanlage, Geschäfte.</w:t>
      </w:r>
    </w:p>
    <w:p w:rsidR="00000000" w:rsidDel="00000000" w:rsidP="00000000" w:rsidRDefault="00000000" w:rsidRPr="00000000" w14:paraId="00000006">
      <w:pPr>
        <w:spacing w:line="276" w:lineRule="auto"/>
        <w:rPr>
          <w:sz w:val="28"/>
          <w:szCs w:val="28"/>
        </w:rPr>
      </w:pPr>
      <w:r w:rsidDel="00000000" w:rsidR="00000000" w:rsidRPr="00000000">
        <w:rPr>
          <w:rtl w:val="0"/>
        </w:rPr>
      </w:r>
    </w:p>
    <w:p w:rsidR="00000000" w:rsidDel="00000000" w:rsidP="00000000" w:rsidRDefault="00000000" w:rsidRPr="00000000" w14:paraId="00000007">
      <w:pPr>
        <w:spacing w:line="276" w:lineRule="auto"/>
        <w:rPr>
          <w:sz w:val="28"/>
          <w:szCs w:val="28"/>
        </w:rPr>
      </w:pPr>
      <w:r w:rsidDel="00000000" w:rsidR="00000000" w:rsidRPr="00000000">
        <w:rPr>
          <w:sz w:val="28"/>
          <w:szCs w:val="28"/>
          <w:rtl w:val="0"/>
        </w:rPr>
        <w:t xml:space="preserve">Wie man in Deutschland nicht ohne Euro leben kann, so kommt man in einer virtuellen Welt nicht ohne deren eigene Währung aus. Bei Decentraland ist dies MANA.</w:t>
      </w:r>
    </w:p>
    <w:p w:rsidR="00000000" w:rsidDel="00000000" w:rsidP="00000000" w:rsidRDefault="00000000" w:rsidRPr="00000000" w14:paraId="00000008">
      <w:pPr>
        <w:spacing w:line="276" w:lineRule="auto"/>
        <w:rPr>
          <w:sz w:val="28"/>
          <w:szCs w:val="28"/>
        </w:rPr>
      </w:pPr>
      <w:r w:rsidDel="00000000" w:rsidR="00000000" w:rsidRPr="00000000">
        <w:rPr>
          <w:sz w:val="28"/>
          <w:szCs w:val="28"/>
          <w:rtl w:val="0"/>
        </w:rPr>
        <w:br w:type="textWrapping"/>
        <w:t xml:space="preserve">Was kann ich mit MANA machen?</w:t>
      </w:r>
    </w:p>
    <w:p w:rsidR="00000000" w:rsidDel="00000000" w:rsidP="00000000" w:rsidRDefault="00000000" w:rsidRPr="00000000" w14:paraId="00000009">
      <w:pPr>
        <w:spacing w:line="276" w:lineRule="auto"/>
        <w:rPr>
          <w:sz w:val="28"/>
          <w:szCs w:val="28"/>
        </w:rPr>
      </w:pPr>
      <w:r w:rsidDel="00000000" w:rsidR="00000000" w:rsidRPr="00000000">
        <w:rPr>
          <w:rtl w:val="0"/>
        </w:rPr>
      </w:r>
    </w:p>
    <w:p w:rsidR="00000000" w:rsidDel="00000000" w:rsidP="00000000" w:rsidRDefault="00000000" w:rsidRPr="00000000" w14:paraId="0000000A">
      <w:pPr>
        <w:numPr>
          <w:ilvl w:val="0"/>
          <w:numId w:val="1"/>
        </w:numPr>
        <w:pBdr>
          <w:left w:space="0" w:sz="0" w:val="nil"/>
          <w:bottom w:color="000000" w:space="15" w:sz="0" w:val="none"/>
          <w:between w:space="0" w:sz="0" w:val="nil"/>
        </w:pBdr>
        <w:spacing w:line="276" w:lineRule="auto"/>
        <w:ind w:left="720" w:hanging="360"/>
        <w:rPr>
          <w:sz w:val="28"/>
          <w:szCs w:val="28"/>
        </w:rPr>
      </w:pPr>
      <w:r w:rsidDel="00000000" w:rsidR="00000000" w:rsidRPr="00000000">
        <w:rPr>
          <w:b w:val="1"/>
          <w:sz w:val="28"/>
          <w:szCs w:val="28"/>
          <w:rtl w:val="0"/>
        </w:rPr>
        <w:t xml:space="preserve">Mitbestimmung:</w:t>
      </w:r>
      <w:r w:rsidDel="00000000" w:rsidR="00000000" w:rsidRPr="00000000">
        <w:rPr>
          <w:sz w:val="28"/>
          <w:szCs w:val="28"/>
          <w:rtl w:val="0"/>
        </w:rPr>
        <w:t xml:space="preserve">  Decentraland ist eines der Projekte, welche die Struktur einer dezentralen autonomen Organisation (</w:t>
      </w:r>
      <w:hyperlink r:id="rId7">
        <w:r w:rsidDel="00000000" w:rsidR="00000000" w:rsidRPr="00000000">
          <w:rPr>
            <w:sz w:val="28"/>
            <w:szCs w:val="28"/>
            <w:rtl w:val="0"/>
          </w:rPr>
          <w:t xml:space="preserve">DAO</w:t>
        </w:r>
      </w:hyperlink>
      <w:r w:rsidDel="00000000" w:rsidR="00000000" w:rsidRPr="00000000">
        <w:rPr>
          <w:sz w:val="28"/>
          <w:szCs w:val="28"/>
          <w:rtl w:val="0"/>
        </w:rPr>
        <w:t xml:space="preserve">) für Governance-Entscheidungen verwenden. Folglich haben MANA-Tokeninhaber die Kontrolle darüber, wie sich die Welt von Decentraland verhält. Sie können Aktualisierungen der Richtlinien vorschlagen und darüber abstimmen, wie die kommenden LAND-Auktionen aussehen sollen und welche Arten von Inhalten im Metaverse zugelassen werden.</w:t>
      </w:r>
    </w:p>
    <w:p w:rsidR="00000000" w:rsidDel="00000000" w:rsidP="00000000" w:rsidRDefault="00000000" w:rsidRPr="00000000" w14:paraId="0000000B">
      <w:pPr>
        <w:numPr>
          <w:ilvl w:val="0"/>
          <w:numId w:val="1"/>
        </w:numPr>
        <w:pBdr>
          <w:bottom w:color="000000" w:space="15" w:sz="0" w:val="none"/>
        </w:pBdr>
        <w:spacing w:line="276" w:lineRule="auto"/>
        <w:ind w:left="720" w:hanging="360"/>
        <w:rPr>
          <w:sz w:val="28"/>
          <w:szCs w:val="28"/>
        </w:rPr>
      </w:pPr>
      <w:r w:rsidDel="00000000" w:rsidR="00000000" w:rsidRPr="00000000">
        <w:rPr>
          <w:b w:val="1"/>
          <w:sz w:val="28"/>
          <w:szCs w:val="28"/>
          <w:rtl w:val="0"/>
        </w:rPr>
        <w:t xml:space="preserve">Markplatz:</w:t>
      </w:r>
      <w:r w:rsidDel="00000000" w:rsidR="00000000" w:rsidRPr="00000000">
        <w:rPr>
          <w:sz w:val="28"/>
          <w:szCs w:val="28"/>
          <w:rtl w:val="0"/>
        </w:rPr>
        <w:t xml:space="preserve"> MANA ist ein Zahlungsmittel, das heißt alles ist in MANA bepreist und wird in MANA verkauft.</w:t>
      </w:r>
    </w:p>
    <w:p w:rsidR="00000000" w:rsidDel="00000000" w:rsidP="00000000" w:rsidRDefault="00000000" w:rsidRPr="00000000" w14:paraId="0000000C">
      <w:pPr>
        <w:numPr>
          <w:ilvl w:val="0"/>
          <w:numId w:val="1"/>
        </w:numPr>
        <w:pBdr>
          <w:left w:space="0" w:sz="0" w:val="nil"/>
          <w:bottom w:color="000000" w:space="15" w:sz="0" w:val="none"/>
          <w:between w:space="0" w:sz="0" w:val="nil"/>
        </w:pBdr>
        <w:spacing w:line="276" w:lineRule="auto"/>
        <w:ind w:left="720" w:hanging="360"/>
        <w:rPr>
          <w:sz w:val="28"/>
          <w:szCs w:val="28"/>
        </w:rPr>
      </w:pPr>
      <w:r w:rsidDel="00000000" w:rsidR="00000000" w:rsidRPr="00000000">
        <w:rPr>
          <w:b w:val="1"/>
          <w:sz w:val="28"/>
          <w:szCs w:val="28"/>
          <w:rtl w:val="0"/>
        </w:rPr>
        <w:t xml:space="preserve">Gewinn:</w:t>
      </w:r>
      <w:r w:rsidDel="00000000" w:rsidR="00000000" w:rsidRPr="00000000">
        <w:rPr>
          <w:sz w:val="28"/>
          <w:szCs w:val="28"/>
          <w:rtl w:val="0"/>
        </w:rPr>
        <w:t xml:space="preserve"> In Casinos kannst du sogar MANA gewinnen.</w:t>
      </w:r>
    </w:p>
    <w:p w:rsidR="00000000" w:rsidDel="00000000" w:rsidP="00000000" w:rsidRDefault="00000000" w:rsidRPr="00000000" w14:paraId="0000000D">
      <w:pPr>
        <w:pBdr>
          <w:left w:space="0" w:sz="0" w:val="nil"/>
          <w:bottom w:color="000000" w:space="15" w:sz="0" w:val="none"/>
          <w:between w:space="0" w:sz="0" w:val="nil"/>
        </w:pBd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0E">
      <w:pPr>
        <w:numPr>
          <w:ilvl w:val="0"/>
          <w:numId w:val="1"/>
        </w:numPr>
        <w:pBdr>
          <w:left w:space="0" w:sz="0" w:val="nil"/>
          <w:bottom w:color="000000" w:space="15" w:sz="0" w:val="none"/>
          <w:between w:space="0" w:sz="0" w:val="nil"/>
        </w:pBdr>
        <w:spacing w:after="880" w:line="276" w:lineRule="auto"/>
        <w:ind w:left="720" w:hanging="360"/>
        <w:rPr>
          <w:sz w:val="28"/>
          <w:szCs w:val="28"/>
        </w:rPr>
      </w:pPr>
      <w:r w:rsidDel="00000000" w:rsidR="00000000" w:rsidRPr="00000000">
        <w:rPr>
          <w:b w:val="1"/>
          <w:sz w:val="28"/>
          <w:szCs w:val="28"/>
          <w:rtl w:val="0"/>
        </w:rPr>
        <w:t xml:space="preserve">LAND:</w:t>
      </w:r>
      <w:r w:rsidDel="00000000" w:rsidR="00000000" w:rsidRPr="00000000">
        <w:rPr>
          <w:sz w:val="28"/>
          <w:szCs w:val="28"/>
          <w:rtl w:val="0"/>
        </w:rPr>
        <w:t xml:space="preserve"> Du kannst mit auch mit MANA Land kaufen.</w:t>
      </w:r>
    </w:p>
    <w:p w:rsidR="00000000" w:rsidDel="00000000" w:rsidP="00000000" w:rsidRDefault="00000000" w:rsidRPr="00000000" w14:paraId="0000000F">
      <w:pPr>
        <w:pBdr>
          <w:left w:space="0" w:sz="0" w:val="nil"/>
          <w:bottom w:color="000000" w:space="15" w:sz="0" w:val="none"/>
          <w:between w:space="0" w:sz="0" w:val="nil"/>
        </w:pBdr>
        <w:spacing w:after="880" w:line="276" w:lineRule="auto"/>
        <w:rPr>
          <w:sz w:val="28"/>
          <w:szCs w:val="28"/>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80"/>
      <w:outlineLvl w:val="0"/>
    </w:pPr>
    <w:rPr>
      <w:b w:val="1"/>
      <w:sz w:val="48"/>
      <w:szCs w:val="48"/>
    </w:rPr>
  </w:style>
  <w:style w:type="paragraph" w:styleId="berschrift2">
    <w:name w:val="heading 2"/>
    <w:basedOn w:val="Standard"/>
    <w:next w:val="Standard"/>
    <w:uiPriority w:val="9"/>
    <w:semiHidden w:val="1"/>
    <w:unhideWhenUsed w:val="1"/>
    <w:qFormat w:val="1"/>
    <w:pPr>
      <w:keepNext w:val="1"/>
      <w:keepLines w:val="1"/>
      <w:spacing w:after="80" w:before="360"/>
      <w:outlineLvl w:val="1"/>
    </w:pPr>
    <w:rPr>
      <w:b w:val="1"/>
      <w:sz w:val="36"/>
      <w:szCs w:val="36"/>
    </w:rPr>
  </w:style>
  <w:style w:type="paragraph" w:styleId="berschrift3">
    <w:name w:val="heading 3"/>
    <w:basedOn w:val="Standard"/>
    <w:next w:val="Standard"/>
    <w:uiPriority w:val="9"/>
    <w:semiHidden w:val="1"/>
    <w:unhideWhenUsed w:val="1"/>
    <w:qFormat w:val="1"/>
    <w:pPr>
      <w:keepNext w:val="1"/>
      <w:keepLines w:val="1"/>
      <w:spacing w:after="80" w:before="280"/>
      <w:outlineLvl w:val="2"/>
    </w:pPr>
    <w:rPr>
      <w:b w:val="1"/>
      <w:sz w:val="28"/>
      <w:szCs w:val="28"/>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sz w:val="22"/>
      <w:szCs w:val="22"/>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ellenraster">
    <w:name w:val="Table Grid"/>
    <w:basedOn w:val="NormaleTabelle"/>
    <w:uiPriority w:val="39"/>
    <w:rsid w:val="00A313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nabsatz">
    <w:name w:val="List Paragraph"/>
    <w:basedOn w:val="Standard"/>
    <w:uiPriority w:val="34"/>
    <w:qFormat w:val="1"/>
    <w:rsid w:val="00275111"/>
    <w:pPr>
      <w:ind w:left="720"/>
      <w:contextualSpacing w:val="1"/>
    </w:pPr>
  </w:style>
  <w:style w:type="paragraph" w:styleId="Untertitel">
    <w:name w:val="Subtitle"/>
    <w:basedOn w:val="Standard"/>
    <w:next w:val="Standard"/>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top w:w="0.0" w:type="dxa"/>
        <w:left w:w="108.0" w:type="dxa"/>
        <w:bottom w:w="0.0" w:type="dxa"/>
        <w:right w:w="108.0" w:type="dxa"/>
      </w:tblCellMar>
    </w:tblPr>
  </w:style>
  <w:style w:type="table" w:styleId="a0" w:customStyle="1">
    <w:basedOn w:val="TableNormal3"/>
    <w:tblPr>
      <w:tblStyleRowBandSize w:val="1"/>
      <w:tblStyleColBandSize w:val="1"/>
      <w:tblCellMar>
        <w:top w:w="0.0" w:type="dxa"/>
        <w:left w:w="108.0" w:type="dxa"/>
        <w:bottom w:w="0.0" w:type="dxa"/>
        <w:right w:w="108.0" w:type="dxa"/>
      </w:tblCellMar>
    </w:tblPr>
  </w:style>
  <w:style w:type="table" w:styleId="a1" w:customStyle="1">
    <w:basedOn w:val="TableNormal3"/>
    <w:tblPr>
      <w:tblStyleRowBandSize w:val="1"/>
      <w:tblStyleColBandSize w:val="1"/>
      <w:tblCellMar>
        <w:top w:w="0.0" w:type="dxa"/>
        <w:left w:w="108.0" w:type="dxa"/>
        <w:bottom w:w="0.0" w:type="dxa"/>
        <w:right w:w="108.0" w:type="dxa"/>
      </w:tblCellMar>
    </w:tblPr>
  </w:style>
  <w:style w:type="table" w:styleId="a2" w:customStyle="1">
    <w:basedOn w:val="TableNormal3"/>
    <w:tblPr>
      <w:tblStyleRowBandSize w:val="1"/>
      <w:tblStyleColBandSize w:val="1"/>
      <w:tblCellMar>
        <w:top w:w="0.0" w:type="dxa"/>
        <w:left w:w="108.0" w:type="dxa"/>
        <w:bottom w:w="0.0" w:type="dxa"/>
        <w:right w:w="108.0" w:type="dxa"/>
      </w:tblCellMar>
    </w:tblPr>
  </w:style>
  <w:style w:type="table" w:styleId="a3" w:customStyle="1">
    <w:basedOn w:val="TableNormal3"/>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inmarketcap.com/alexandria/glossary/decentralized-autonomous-organizations-da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0KwSYF2KEwVEf6T/WOq2v+hvYg==">AMUW2mUzsyPpjG5EVC0L7CwUzbPP89Mb89HaRbRvyOt/vKxggh7YHx4sjqr7kOuq5z4WQKNuugbaJTZ9G7ops/Q3Y3/nPjCKc5/wNxcVM2xBr32U6Narsbo=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2022-03-14T15:24:00Z</dcterms:created>
  <dc:creator>Corinna Reibchen</dc:creator>
</cp:coreProperties>
</file>