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FB10" w14:textId="21608D00" w:rsidR="006B0B5B" w:rsidRPr="00CB70C2" w:rsidRDefault="00000000" w:rsidP="00CB70C2">
      <w:pPr>
        <w:spacing w:line="276" w:lineRule="auto"/>
        <w:rPr>
          <w:b/>
          <w:sz w:val="28"/>
          <w:szCs w:val="28"/>
        </w:rPr>
      </w:pPr>
      <w:r w:rsidRPr="00CB70C2">
        <w:rPr>
          <w:b/>
          <w:sz w:val="28"/>
          <w:szCs w:val="28"/>
        </w:rPr>
        <w:t xml:space="preserve">Was ist </w:t>
      </w:r>
      <w:r w:rsidR="00CB70C2">
        <w:rPr>
          <w:b/>
          <w:sz w:val="28"/>
          <w:szCs w:val="28"/>
        </w:rPr>
        <w:t xml:space="preserve">die </w:t>
      </w:r>
      <w:r w:rsidRPr="00CB70C2">
        <w:rPr>
          <w:b/>
          <w:sz w:val="28"/>
          <w:szCs w:val="28"/>
        </w:rPr>
        <w:t xml:space="preserve">Sandbox (SAND)? </w:t>
      </w:r>
    </w:p>
    <w:p w14:paraId="47476450" w14:textId="77777777" w:rsidR="006B0B5B" w:rsidRPr="00CB70C2" w:rsidRDefault="006B0B5B" w:rsidP="00CB70C2">
      <w:pPr>
        <w:spacing w:line="276" w:lineRule="auto"/>
        <w:rPr>
          <w:b/>
          <w:sz w:val="28"/>
          <w:szCs w:val="28"/>
        </w:rPr>
      </w:pPr>
    </w:p>
    <w:p w14:paraId="18E02031" w14:textId="35BC8F9D" w:rsidR="006B0B5B" w:rsidRPr="00CB70C2" w:rsidRDefault="00CB70C2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r w:rsidR="00000000" w:rsidRPr="00CB70C2">
        <w:rPr>
          <w:sz w:val="28"/>
          <w:szCs w:val="28"/>
        </w:rPr>
        <w:t xml:space="preserve">Sandbox ist ein auf </w:t>
      </w:r>
      <w:proofErr w:type="spellStart"/>
      <w:r w:rsidR="00000000" w:rsidRPr="00CB70C2">
        <w:rPr>
          <w:sz w:val="28"/>
          <w:szCs w:val="28"/>
        </w:rPr>
        <w:t>Etherum</w:t>
      </w:r>
      <w:proofErr w:type="spellEnd"/>
      <w:r w:rsidR="00000000" w:rsidRPr="00CB70C2">
        <w:rPr>
          <w:sz w:val="28"/>
          <w:szCs w:val="28"/>
        </w:rPr>
        <w:t xml:space="preserve"> basierendes Metaverse- und Gaming - Ökosystem, in dem Benutzer z.B. virtuelles Land und Figuren sowie weitere Assets kaufen, spielen und monetarisieren können. </w:t>
      </w:r>
    </w:p>
    <w:p w14:paraId="693FA415" w14:textId="77777777" w:rsidR="006B0B5B" w:rsidRPr="00CB70C2" w:rsidRDefault="006B0B5B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4986A0E1" w14:textId="31D0C24F" w:rsidR="006B0B5B" w:rsidRPr="00CB70C2" w:rsidRDefault="00CB70C2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r w:rsidR="00000000" w:rsidRPr="00CB70C2">
        <w:rPr>
          <w:sz w:val="28"/>
          <w:szCs w:val="28"/>
        </w:rPr>
        <w:t xml:space="preserve">Sandbox hat mit dem Alphapass Ende 2021 erstmals einen Push für virtuelles Land erlebt. </w:t>
      </w:r>
      <w:r w:rsidRPr="00CB70C2">
        <w:rPr>
          <w:sz w:val="28"/>
          <w:szCs w:val="28"/>
        </w:rPr>
        <w:t>Große</w:t>
      </w:r>
      <w:r w:rsidR="00000000" w:rsidRPr="00CB70C2">
        <w:rPr>
          <w:sz w:val="28"/>
          <w:szCs w:val="28"/>
        </w:rPr>
        <w:t xml:space="preserve"> Unternehmen wie Adidas und auch Stars wie Snoop Dog haben hier in </w:t>
      </w:r>
      <w:r>
        <w:rPr>
          <w:sz w:val="28"/>
          <w:szCs w:val="28"/>
        </w:rPr>
        <w:t xml:space="preserve">virtuelles </w:t>
      </w:r>
      <w:r w:rsidR="00000000" w:rsidRPr="00CB70C2">
        <w:rPr>
          <w:sz w:val="28"/>
          <w:szCs w:val="28"/>
        </w:rPr>
        <w:t xml:space="preserve">Land investiert. Sandbox möchte eine </w:t>
      </w:r>
      <w:r w:rsidRPr="00CB70C2">
        <w:rPr>
          <w:sz w:val="28"/>
          <w:szCs w:val="28"/>
        </w:rPr>
        <w:t>neue</w:t>
      </w:r>
      <w:r w:rsidR="00000000" w:rsidRPr="00CB70C2">
        <w:rPr>
          <w:sz w:val="28"/>
          <w:szCs w:val="28"/>
        </w:rPr>
        <w:t xml:space="preserve"> virtuelle Welt erschaffen, in der man durch Videospiele sowie z.B. Vermietung seiner virtuellen Grundstücke Geld bekommt. </w:t>
      </w:r>
    </w:p>
    <w:p w14:paraId="4CD6BD1E" w14:textId="77777777" w:rsidR="006B0B5B" w:rsidRPr="00CB70C2" w:rsidRDefault="006B0B5B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6521F885" w14:textId="4C0B8AC8" w:rsidR="006B0B5B" w:rsidRPr="00CB70C2" w:rsidRDefault="00000000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B70C2">
        <w:rPr>
          <w:sz w:val="28"/>
          <w:szCs w:val="28"/>
        </w:rPr>
        <w:t>Du kannst mit dem Game Maker</w:t>
      </w:r>
      <w:r w:rsidR="00CB70C2">
        <w:rPr>
          <w:sz w:val="28"/>
          <w:szCs w:val="28"/>
        </w:rPr>
        <w:t>,</w:t>
      </w:r>
      <w:r w:rsidRPr="00CB70C2">
        <w:rPr>
          <w:sz w:val="28"/>
          <w:szCs w:val="28"/>
        </w:rPr>
        <w:t xml:space="preserve"> Assets in Form von NFTs erstellen und dann in einem eigenen Marktplatz oder aber auch über große </w:t>
      </w:r>
      <w:r w:rsidR="00CB70C2" w:rsidRPr="00CB70C2">
        <w:rPr>
          <w:sz w:val="28"/>
          <w:szCs w:val="28"/>
        </w:rPr>
        <w:t>NFT-Marktplätze</w:t>
      </w:r>
      <w:r w:rsidRPr="00CB70C2">
        <w:rPr>
          <w:sz w:val="28"/>
          <w:szCs w:val="28"/>
        </w:rPr>
        <w:t xml:space="preserve"> wie </w:t>
      </w:r>
      <w:proofErr w:type="spellStart"/>
      <w:r w:rsidRPr="00CB70C2">
        <w:rPr>
          <w:sz w:val="28"/>
          <w:szCs w:val="28"/>
        </w:rPr>
        <w:t>Opensea</w:t>
      </w:r>
      <w:proofErr w:type="spellEnd"/>
      <w:r w:rsidRPr="00CB70C2">
        <w:rPr>
          <w:sz w:val="28"/>
          <w:szCs w:val="28"/>
        </w:rPr>
        <w:t xml:space="preserve"> handeln. </w:t>
      </w:r>
    </w:p>
    <w:p w14:paraId="6347F13D" w14:textId="77777777" w:rsidR="006B0B5B" w:rsidRPr="00CB70C2" w:rsidRDefault="006B0B5B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59FE92B7" w14:textId="24864B7A" w:rsidR="006B0B5B" w:rsidRPr="00CB70C2" w:rsidRDefault="00000000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B70C2">
        <w:rPr>
          <w:sz w:val="28"/>
          <w:szCs w:val="28"/>
        </w:rPr>
        <w:t xml:space="preserve">Der von Sandbox herausgegebenen </w:t>
      </w:r>
      <w:proofErr w:type="spellStart"/>
      <w:r w:rsidRPr="00CB70C2">
        <w:rPr>
          <w:sz w:val="28"/>
          <w:szCs w:val="28"/>
        </w:rPr>
        <w:t>Coin</w:t>
      </w:r>
      <w:proofErr w:type="spellEnd"/>
      <w:r w:rsidRPr="00CB70C2">
        <w:rPr>
          <w:sz w:val="28"/>
          <w:szCs w:val="28"/>
        </w:rPr>
        <w:t xml:space="preserve"> heißt SAND und wird auf verschiedenen Börsen gehandelt und ist </w:t>
      </w:r>
      <w:r w:rsidR="00CB70C2">
        <w:rPr>
          <w:sz w:val="28"/>
          <w:szCs w:val="28"/>
        </w:rPr>
        <w:t xml:space="preserve">zudem </w:t>
      </w:r>
      <w:r w:rsidRPr="00CB70C2">
        <w:rPr>
          <w:sz w:val="28"/>
          <w:szCs w:val="28"/>
        </w:rPr>
        <w:t xml:space="preserve">die Währung im Sandbox Spiel. 2021 hatte diese einen Höchststand von über $8,60 - aktuell ist der </w:t>
      </w:r>
      <w:proofErr w:type="spellStart"/>
      <w:r w:rsidRPr="00CB70C2">
        <w:rPr>
          <w:sz w:val="28"/>
          <w:szCs w:val="28"/>
        </w:rPr>
        <w:t>Coin</w:t>
      </w:r>
      <w:proofErr w:type="spellEnd"/>
      <w:r w:rsidRPr="00CB70C2">
        <w:rPr>
          <w:sz w:val="28"/>
          <w:szCs w:val="28"/>
        </w:rPr>
        <w:t xml:space="preserve"> sehr schwach und notiert bei rund $2,20, da die </w:t>
      </w:r>
      <w:r w:rsidR="00CB70C2" w:rsidRPr="00CB70C2">
        <w:rPr>
          <w:sz w:val="28"/>
          <w:szCs w:val="28"/>
        </w:rPr>
        <w:t>Betaversion</w:t>
      </w:r>
      <w:r w:rsidRPr="00CB70C2">
        <w:rPr>
          <w:sz w:val="28"/>
          <w:szCs w:val="28"/>
        </w:rPr>
        <w:t xml:space="preserve"> hinter ihren Erwartungen zurückblieb.</w:t>
      </w:r>
    </w:p>
    <w:p w14:paraId="164F635B" w14:textId="77777777" w:rsidR="006B0B5B" w:rsidRPr="00CB70C2" w:rsidRDefault="006B0B5B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7EA34A9C" w14:textId="77777777" w:rsidR="006B0B5B" w:rsidRPr="00CB70C2" w:rsidRDefault="00000000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B70C2">
        <w:rPr>
          <w:sz w:val="28"/>
          <w:szCs w:val="28"/>
        </w:rPr>
        <w:t>Mit der starken Konkurrenz von anderen virtuellen Welten wie “</w:t>
      </w:r>
      <w:proofErr w:type="spellStart"/>
      <w:r w:rsidRPr="00CB70C2">
        <w:rPr>
          <w:sz w:val="28"/>
          <w:szCs w:val="28"/>
        </w:rPr>
        <w:t>the</w:t>
      </w:r>
      <w:proofErr w:type="spellEnd"/>
      <w:r w:rsidRPr="00CB70C2">
        <w:rPr>
          <w:sz w:val="28"/>
          <w:szCs w:val="28"/>
        </w:rPr>
        <w:t xml:space="preserve"> </w:t>
      </w:r>
      <w:proofErr w:type="spellStart"/>
      <w:r w:rsidRPr="00CB70C2">
        <w:rPr>
          <w:sz w:val="28"/>
          <w:szCs w:val="28"/>
        </w:rPr>
        <w:t>otherside</w:t>
      </w:r>
      <w:proofErr w:type="spellEnd"/>
      <w:r w:rsidRPr="00CB70C2">
        <w:rPr>
          <w:sz w:val="28"/>
          <w:szCs w:val="28"/>
        </w:rPr>
        <w:t xml:space="preserve">” mit seinem </w:t>
      </w:r>
      <w:proofErr w:type="spellStart"/>
      <w:r w:rsidRPr="00CB70C2">
        <w:rPr>
          <w:sz w:val="28"/>
          <w:szCs w:val="28"/>
        </w:rPr>
        <w:t>Apecoin</w:t>
      </w:r>
      <w:proofErr w:type="spellEnd"/>
      <w:r w:rsidRPr="00CB70C2">
        <w:rPr>
          <w:sz w:val="28"/>
          <w:szCs w:val="28"/>
        </w:rPr>
        <w:t xml:space="preserve"> von </w:t>
      </w:r>
      <w:proofErr w:type="spellStart"/>
      <w:r w:rsidRPr="00CB70C2">
        <w:rPr>
          <w:sz w:val="28"/>
          <w:szCs w:val="28"/>
        </w:rPr>
        <w:t>Yugalabs</w:t>
      </w:r>
      <w:proofErr w:type="spellEnd"/>
      <w:r w:rsidRPr="00CB70C2">
        <w:rPr>
          <w:sz w:val="28"/>
          <w:szCs w:val="28"/>
        </w:rPr>
        <w:t xml:space="preserve"> (</w:t>
      </w:r>
      <w:proofErr w:type="spellStart"/>
      <w:r w:rsidRPr="00CB70C2">
        <w:rPr>
          <w:sz w:val="28"/>
          <w:szCs w:val="28"/>
        </w:rPr>
        <w:t>Bored</w:t>
      </w:r>
      <w:proofErr w:type="spellEnd"/>
      <w:r w:rsidRPr="00CB70C2">
        <w:rPr>
          <w:sz w:val="28"/>
          <w:szCs w:val="28"/>
        </w:rPr>
        <w:t xml:space="preserve"> </w:t>
      </w:r>
      <w:proofErr w:type="spellStart"/>
      <w:r w:rsidRPr="00CB70C2">
        <w:rPr>
          <w:sz w:val="28"/>
          <w:szCs w:val="28"/>
        </w:rPr>
        <w:t>Ape</w:t>
      </w:r>
      <w:proofErr w:type="spellEnd"/>
      <w:r w:rsidRPr="00CB70C2">
        <w:rPr>
          <w:sz w:val="28"/>
          <w:szCs w:val="28"/>
        </w:rPr>
        <w:t xml:space="preserve"> Yacht Club) müssen wir abwarten wie sich Sandbox und weitere play2earn Spiele/ virtuelle Welten entwickeln.</w:t>
      </w:r>
    </w:p>
    <w:p w14:paraId="5972377C" w14:textId="77777777" w:rsidR="006B0B5B" w:rsidRPr="00CB70C2" w:rsidRDefault="006B0B5B" w:rsidP="00CB70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0DC770C8" w14:textId="77777777" w:rsidR="006B0B5B" w:rsidRPr="00CB70C2" w:rsidRDefault="006B0B5B" w:rsidP="00CB70C2">
      <w:pPr>
        <w:spacing w:line="276" w:lineRule="auto"/>
        <w:rPr>
          <w:sz w:val="28"/>
          <w:szCs w:val="28"/>
        </w:rPr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6B0B5B" w:rsidRPr="00CB70C2" w14:paraId="7F5177AF" w14:textId="77777777">
        <w:tc>
          <w:tcPr>
            <w:tcW w:w="4531" w:type="dxa"/>
          </w:tcPr>
          <w:p w14:paraId="373E6F3D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Symbol</w:t>
            </w:r>
          </w:p>
        </w:tc>
        <w:tc>
          <w:tcPr>
            <w:tcW w:w="4531" w:type="dxa"/>
          </w:tcPr>
          <w:p w14:paraId="713E550B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SAND</w:t>
            </w:r>
          </w:p>
        </w:tc>
      </w:tr>
      <w:tr w:rsidR="006B0B5B" w:rsidRPr="00CB70C2" w14:paraId="2CBBBD92" w14:textId="77777777">
        <w:tc>
          <w:tcPr>
            <w:tcW w:w="4531" w:type="dxa"/>
          </w:tcPr>
          <w:p w14:paraId="73697BF8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Konsens Algorithmus</w:t>
            </w:r>
          </w:p>
        </w:tc>
        <w:tc>
          <w:tcPr>
            <w:tcW w:w="4531" w:type="dxa"/>
          </w:tcPr>
          <w:p w14:paraId="30C5BBA0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CB70C2">
              <w:rPr>
                <w:sz w:val="28"/>
                <w:szCs w:val="28"/>
              </w:rPr>
              <w:t>PoS</w:t>
            </w:r>
            <w:proofErr w:type="spellEnd"/>
          </w:p>
        </w:tc>
      </w:tr>
      <w:tr w:rsidR="006B0B5B" w:rsidRPr="00CB70C2" w14:paraId="3E4773D3" w14:textId="77777777">
        <w:tc>
          <w:tcPr>
            <w:tcW w:w="4531" w:type="dxa"/>
          </w:tcPr>
          <w:p w14:paraId="396458B7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Erfinder</w:t>
            </w:r>
          </w:p>
        </w:tc>
        <w:tc>
          <w:tcPr>
            <w:tcW w:w="4531" w:type="dxa"/>
          </w:tcPr>
          <w:p w14:paraId="59AC33AE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rFonts w:ascii="Roboto" w:eastAsia="Roboto" w:hAnsi="Roboto" w:cs="Roboto"/>
                <w:color w:val="58667E"/>
                <w:sz w:val="28"/>
                <w:szCs w:val="28"/>
                <w:highlight w:val="white"/>
              </w:rPr>
              <w:t>Arthur Madrid, Sébastien Borget</w:t>
            </w:r>
          </w:p>
        </w:tc>
      </w:tr>
      <w:tr w:rsidR="006B0B5B" w:rsidRPr="00CB70C2" w14:paraId="190EB740" w14:textId="77777777">
        <w:tc>
          <w:tcPr>
            <w:tcW w:w="4531" w:type="dxa"/>
          </w:tcPr>
          <w:p w14:paraId="563348C8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Veröffentlichung</w:t>
            </w:r>
          </w:p>
        </w:tc>
        <w:tc>
          <w:tcPr>
            <w:tcW w:w="4531" w:type="dxa"/>
          </w:tcPr>
          <w:p w14:paraId="087C066A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2012</w:t>
            </w:r>
          </w:p>
        </w:tc>
      </w:tr>
      <w:tr w:rsidR="006B0B5B" w:rsidRPr="00CB70C2" w14:paraId="049AAD0E" w14:textId="77777777">
        <w:tc>
          <w:tcPr>
            <w:tcW w:w="4531" w:type="dxa"/>
          </w:tcPr>
          <w:p w14:paraId="6498C234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Maximale Anzahl</w:t>
            </w:r>
          </w:p>
        </w:tc>
        <w:tc>
          <w:tcPr>
            <w:tcW w:w="4531" w:type="dxa"/>
          </w:tcPr>
          <w:p w14:paraId="535F2852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rFonts w:ascii="Roboto" w:eastAsia="Roboto" w:hAnsi="Roboto" w:cs="Roboto"/>
                <w:b/>
                <w:color w:val="262626"/>
                <w:sz w:val="28"/>
                <w:szCs w:val="28"/>
                <w:highlight w:val="white"/>
              </w:rPr>
              <w:t>3,000,000,000 SAND</w:t>
            </w:r>
          </w:p>
        </w:tc>
      </w:tr>
      <w:tr w:rsidR="006B0B5B" w:rsidRPr="00CB70C2" w14:paraId="03A5519A" w14:textId="77777777">
        <w:tc>
          <w:tcPr>
            <w:tcW w:w="4531" w:type="dxa"/>
          </w:tcPr>
          <w:p w14:paraId="3CEDAEB4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Marktkapitalisierung</w:t>
            </w:r>
          </w:p>
        </w:tc>
        <w:tc>
          <w:tcPr>
            <w:tcW w:w="4531" w:type="dxa"/>
          </w:tcPr>
          <w:p w14:paraId="05540736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rFonts w:ascii="Roboto" w:eastAsia="Roboto" w:hAnsi="Roboto" w:cs="Roboto"/>
                <w:b/>
                <w:color w:val="262626"/>
                <w:sz w:val="28"/>
                <w:szCs w:val="28"/>
                <w:highlight w:val="white"/>
              </w:rPr>
              <w:t xml:space="preserve">2,596,008,000 </w:t>
            </w:r>
            <w:r w:rsidRPr="00CB70C2">
              <w:rPr>
                <w:rFonts w:ascii="Roboto" w:eastAsia="Roboto" w:hAnsi="Roboto" w:cs="Roboto"/>
                <w:color w:val="262626"/>
                <w:sz w:val="28"/>
                <w:szCs w:val="28"/>
                <w:highlight w:val="white"/>
              </w:rPr>
              <w:t>$</w:t>
            </w:r>
          </w:p>
        </w:tc>
      </w:tr>
      <w:tr w:rsidR="006B0B5B" w:rsidRPr="00CB70C2" w14:paraId="638FDDFA" w14:textId="77777777">
        <w:tc>
          <w:tcPr>
            <w:tcW w:w="4531" w:type="dxa"/>
          </w:tcPr>
          <w:p w14:paraId="78383026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ATH (25.11.2021)</w:t>
            </w:r>
          </w:p>
        </w:tc>
        <w:tc>
          <w:tcPr>
            <w:tcW w:w="4531" w:type="dxa"/>
          </w:tcPr>
          <w:p w14:paraId="1E9C0C48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$8,40</w:t>
            </w:r>
          </w:p>
        </w:tc>
      </w:tr>
      <w:tr w:rsidR="006B0B5B" w:rsidRPr="00CB70C2" w14:paraId="61D33786" w14:textId="77777777">
        <w:tc>
          <w:tcPr>
            <w:tcW w:w="4531" w:type="dxa"/>
          </w:tcPr>
          <w:p w14:paraId="2143A606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Use Case</w:t>
            </w:r>
          </w:p>
        </w:tc>
        <w:tc>
          <w:tcPr>
            <w:tcW w:w="4531" w:type="dxa"/>
          </w:tcPr>
          <w:p w14:paraId="3B4504BA" w14:textId="77777777" w:rsidR="006B0B5B" w:rsidRPr="00CB70C2" w:rsidRDefault="00000000" w:rsidP="00CB70C2">
            <w:pPr>
              <w:spacing w:line="276" w:lineRule="auto"/>
              <w:rPr>
                <w:sz w:val="28"/>
                <w:szCs w:val="28"/>
              </w:rPr>
            </w:pPr>
            <w:r w:rsidRPr="00CB70C2">
              <w:rPr>
                <w:sz w:val="28"/>
                <w:szCs w:val="28"/>
              </w:rPr>
              <w:t>Währung von The Sandbox</w:t>
            </w:r>
          </w:p>
        </w:tc>
      </w:tr>
    </w:tbl>
    <w:p w14:paraId="7F05F55B" w14:textId="77777777" w:rsidR="006B0B5B" w:rsidRPr="00CB70C2" w:rsidRDefault="006B0B5B" w:rsidP="00CB70C2">
      <w:pPr>
        <w:spacing w:line="276" w:lineRule="auto"/>
        <w:rPr>
          <w:sz w:val="28"/>
          <w:szCs w:val="28"/>
        </w:rPr>
      </w:pPr>
    </w:p>
    <w:sectPr w:rsidR="006B0B5B" w:rsidRPr="00CB70C2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5B"/>
    <w:rsid w:val="006B0B5B"/>
    <w:rsid w:val="00CB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07206"/>
  <w15:docId w15:val="{5B1DAA16-EFCC-3244-9904-800905E8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111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/lpMsaihgVdycviNoCKArEhoA==">AMUW2mXumA4WyoJKsNDIC3ODlRhhodsEQM2w+EOPH4E3o0O1KIYaCsHAnJ5V2kbfcXJ3rmc2d1Vv2tLGniDk3IVDbubwMbZ841zN6DLFHDY0UsXkQ9EF6K8=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2022-03-14T15:24:00Z</dcterms:created>
  <dcterms:modified xsi:type="dcterms:W3CDTF">2022-09-12T14:33:00Z</dcterms:modified>
</cp:coreProperties>
</file>