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Was ist Axie Infinity (AXS)</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Axie Infinity ist ein von Pokemon und Tamagotchi inspiriertes Blockchain Spiel, dass ein play-2-earn Konzept einsetzt. Spieler können Kreaturen - die sogenannten Axies - züchten, aufziehen, sammeln, gegeneinander kämpfen lassen und handeln</w:t>
      </w:r>
      <w:r w:rsidDel="00000000" w:rsidR="00000000" w:rsidRPr="00000000">
        <w:rPr>
          <w:rFonts w:ascii="Roboto" w:cs="Roboto" w:eastAsia="Roboto" w:hAnsi="Roboto"/>
          <w:sz w:val="28"/>
          <w:szCs w:val="28"/>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Axies können verschiedene Formen annehmen. Außerdem gibt es mehr als 500 verschiedene Körperteile, darunter Wasser-, Tier-, Vogel-, Käfer-, Pflanzen- und Reptilienteile. Die Teile jeder Typenklasse gibt es in vier verschiedenen Seltenheitsstufen: gewöhnlich, selten, extrem selten und legendär — Axies können jede beliebige Kombination von Körperteilen haben, was sie sehr variabel und oft selten und einzigartig macht.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Jeder dieser Axies ist ein NFT und im direkten Besitz des Spielers. Die Spieler haben die Möglichkeit die NFTs dann auf dem hauseigenen Marktplatz zu handeln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Das Ökosystem von Axie Infinity verfügt über einen eigenen  </w:t>
      </w:r>
      <w:hyperlink r:id="rId7">
        <w:r w:rsidDel="00000000" w:rsidR="00000000" w:rsidRPr="00000000">
          <w:rPr>
            <w:sz w:val="28"/>
            <w:szCs w:val="28"/>
            <w:rtl w:val="0"/>
          </w:rPr>
          <w:t xml:space="preserve">Governance-Token</w:t>
        </w:r>
      </w:hyperlink>
      <w:r w:rsidDel="00000000" w:rsidR="00000000" w:rsidRPr="00000000">
        <w:rPr>
          <w:sz w:val="28"/>
          <w:szCs w:val="28"/>
          <w:rtl w:val="0"/>
        </w:rPr>
        <w:t xml:space="preserve">, dem Axie Infinity Shards (AXS). Diese Tokens werden verwendet, um an wichtigen Abstimmungen teilzunehmen und geben den Inhabern ein Mitspracherecht bei der Verwendung der Mittel in der Axie Community Treasury (Schatzkammer). Zudem können AXS Inhaber Belohnungen für das Staking ihrer Token, das Spielen und die Teilnahme an wichtigen Governance-Abstimmungen erhalten.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Zuletzt war Axie Infinity stark in negative Presse geraten durch Hacker-Angriffe, die Axies in Millionenwert gestohlen haben. Trotzdem sehen Experten insbesondere mit einem neuen kostenlosen Spiel “Origin” gute Zukunftsperspektiven.</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108.0" w:type="dxa"/>
        <w:bottom w:w="0.0" w:type="dxa"/>
        <w:right w:w="108.0" w:type="dxa"/>
      </w:tblCellMar>
    </w:tblPr>
  </w:style>
  <w:style w:type="table" w:styleId="a0" w:customStyle="1">
    <w:basedOn w:val="TableNormal2"/>
    <w:tblPr>
      <w:tblStyleRowBandSize w:val="1"/>
      <w:tblStyleColBandSize w:val="1"/>
      <w:tblCellMar>
        <w:top w:w="0.0" w:type="dxa"/>
        <w:left w:w="108.0" w:type="dxa"/>
        <w:bottom w:w="0.0" w:type="dxa"/>
        <w:right w:w="108.0" w:type="dxa"/>
      </w:tblCellMar>
    </w:tblPr>
  </w:style>
  <w:style w:type="table" w:styleId="a1" w:customStyle="1">
    <w:basedOn w:val="TableNormal2"/>
    <w:tblPr>
      <w:tblStyleRowBandSize w:val="1"/>
      <w:tblStyleColBandSize w:val="1"/>
      <w:tblCellMar>
        <w:top w:w="0.0" w:type="dxa"/>
        <w:left w:w="108.0" w:type="dxa"/>
        <w:bottom w:w="0.0" w:type="dxa"/>
        <w:right w:w="108.0" w:type="dxa"/>
      </w:tblCellMar>
    </w:tblPr>
  </w:style>
  <w:style w:type="table" w:styleId="a2" w:customStyle="1">
    <w:basedOn w:val="TableNormal2"/>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inmarketcap.com/alexandria/glossary/governance-t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p9kseDGsUTDOLCs3n5MOVNOrQg==">AMUW2mWCKHY0FiUna95ECPw3EwJjLMNHiA/TvbPrp5hHPor4PVMpTjQCOgUf8Ng6Pc3eMSUpFUmNOIvfK3aS3jMQPAzo90aHLGYSDjJX1Hi6wqV9cGubytA=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