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What is Axie Infinity (AXS)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Axie Infinity is a Pokemon and Tamagotchi inspired blockchain game that employs a play-2-earn concept. Players can breed, raise, collect, battle, and trade creatures called Axies.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Axies can take different forms. There are also more than 500 different body parts including aquatic, animal, bird, bug, plant and reptile parts. The parts of each type class come in four different rarities: common, rare, ultra rare, and legendary — Axies can have any combination of body parts, making them highly variable and often rare and unique.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Each of these Axies is an NFT and owned directly by the player. The players then have the opportunity to trade the NFTs on the in-house marketplace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Axie Infinity ecosystem has its own governance token, the Axie Infinity Shards (AXS). These tokens are used to participate in important voting and give holders a say in the use of funds in the Axie Community Treasury. Additionally, AXS holders can earn rewards for staking their tokens, playing, and participating in important governance votes.</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spacing w:after="0" w:before="0" w:line="308.5714285714286" w:lineRule="auto"/>
        <w:rPr/>
      </w:pPr>
      <w:r w:rsidDel="00000000" w:rsidR="00000000" w:rsidRPr="00000000">
        <w:rPr>
          <w:rtl w:val="0"/>
        </w:rPr>
        <w:t xml:space="preserve">Most recently, Axie Infinity was badly hit by hacks that stole millions of dollars from Axies. Nevertheless, experts see good future prospects, especially with a new free game “Origin”.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FActs  AXS</w:t>
      </w:r>
    </w:p>
    <w:p w:rsidR="00000000" w:rsidDel="00000000" w:rsidP="00000000" w:rsidRDefault="00000000" w:rsidRPr="00000000" w14:paraId="0000000F">
      <w:pPr>
        <w:rPr/>
      </w:pPr>
      <w:r w:rsidDel="00000000" w:rsidR="00000000" w:rsidRPr="00000000">
        <w:rPr>
          <w:rtl w:val="0"/>
        </w:rPr>
      </w:r>
    </w:p>
    <w:tbl>
      <w:tblPr>
        <w:tblStyle w:val="Table1"/>
        <w:tblW w:w="90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531"/>
        <w:tblGridChange w:id="0">
          <w:tblGrid>
            <w:gridCol w:w="4531"/>
            <w:gridCol w:w="4531"/>
          </w:tblGrid>
        </w:tblGridChange>
      </w:tblGrid>
      <w:tr>
        <w:trPr>
          <w:cantSplit w:val="0"/>
          <w:tblHeader w:val="0"/>
        </w:trPr>
        <w:tc>
          <w:tcPr/>
          <w:p w:rsidR="00000000" w:rsidDel="00000000" w:rsidP="00000000" w:rsidRDefault="00000000" w:rsidRPr="00000000" w14:paraId="00000010">
            <w:pPr>
              <w:rPr/>
            </w:pPr>
            <w:r w:rsidDel="00000000" w:rsidR="00000000" w:rsidRPr="00000000">
              <w:rPr>
                <w:rtl w:val="0"/>
              </w:rPr>
              <w:t xml:space="preserve">Symbol</w:t>
            </w:r>
          </w:p>
        </w:tc>
        <w:tc>
          <w:tcPr/>
          <w:p w:rsidR="00000000" w:rsidDel="00000000" w:rsidP="00000000" w:rsidRDefault="00000000" w:rsidRPr="00000000" w14:paraId="00000011">
            <w:pPr>
              <w:rPr/>
            </w:pPr>
            <w:r w:rsidDel="00000000" w:rsidR="00000000" w:rsidRPr="00000000">
              <w:rPr>
                <w:rtl w:val="0"/>
              </w:rPr>
              <w:t xml:space="preserve">AXS</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Konsens Algorithmus</w:t>
            </w:r>
          </w:p>
        </w:tc>
        <w:tc>
          <w:tcPr/>
          <w:p w:rsidR="00000000" w:rsidDel="00000000" w:rsidP="00000000" w:rsidRDefault="00000000" w:rsidRPr="00000000" w14:paraId="00000013">
            <w:pPr>
              <w:rPr/>
            </w:pPr>
            <w:r w:rsidDel="00000000" w:rsidR="00000000" w:rsidRPr="00000000">
              <w:rPr>
                <w:rtl w:val="0"/>
              </w:rPr>
              <w:t xml:space="preserve">Proof of Stake </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Founder</w:t>
            </w:r>
          </w:p>
        </w:tc>
        <w:tc>
          <w:tcPr/>
          <w:p w:rsidR="00000000" w:rsidDel="00000000" w:rsidP="00000000" w:rsidRDefault="00000000" w:rsidRPr="00000000" w14:paraId="00000015">
            <w:pPr>
              <w:rPr/>
            </w:pPr>
            <w:r w:rsidDel="00000000" w:rsidR="00000000" w:rsidRPr="00000000">
              <w:rPr>
                <w:rtl w:val="0"/>
              </w:rPr>
              <w:t xml:space="preserve">Sky Mavis</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Publication</w:t>
            </w:r>
          </w:p>
        </w:tc>
        <w:tc>
          <w:tcPr/>
          <w:p w:rsidR="00000000" w:rsidDel="00000000" w:rsidP="00000000" w:rsidRDefault="00000000" w:rsidRPr="00000000" w14:paraId="00000017">
            <w:pPr>
              <w:rPr/>
            </w:pPr>
            <w:r w:rsidDel="00000000" w:rsidR="00000000" w:rsidRPr="00000000">
              <w:rPr>
                <w:rtl w:val="0"/>
              </w:rPr>
              <w:t xml:space="preserve">2018</w:t>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Maximum Supply</w:t>
            </w:r>
          </w:p>
        </w:tc>
        <w:tc>
          <w:tcPr/>
          <w:p w:rsidR="00000000" w:rsidDel="00000000" w:rsidP="00000000" w:rsidRDefault="00000000" w:rsidRPr="00000000" w14:paraId="00000019">
            <w:pPr>
              <w:rPr/>
            </w:pPr>
            <w:r w:rsidDel="00000000" w:rsidR="00000000" w:rsidRPr="00000000">
              <w:rPr>
                <w:rtl w:val="0"/>
              </w:rPr>
              <w:t xml:space="preserve">270.000.000 AXS Coins</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Market Capitalisation</w:t>
            </w:r>
          </w:p>
        </w:tc>
        <w:tc>
          <w:tcPr/>
          <w:p w:rsidR="00000000" w:rsidDel="00000000" w:rsidP="00000000" w:rsidRDefault="00000000" w:rsidRPr="00000000" w14:paraId="0000001B">
            <w:pPr>
              <w:rPr/>
            </w:pPr>
            <w:r w:rsidDel="00000000" w:rsidR="00000000" w:rsidRPr="00000000">
              <w:rPr>
                <w:rtl w:val="0"/>
              </w:rPr>
              <w:t xml:space="preserve">2,617,355,296 $</w:t>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ATH</w:t>
            </w:r>
          </w:p>
        </w:tc>
        <w:tc>
          <w:tcPr/>
          <w:p w:rsidR="00000000" w:rsidDel="00000000" w:rsidP="00000000" w:rsidRDefault="00000000" w:rsidRPr="00000000" w14:paraId="0000001D">
            <w:pPr>
              <w:rPr/>
            </w:pPr>
            <w:r w:rsidDel="00000000" w:rsidR="00000000" w:rsidRPr="00000000">
              <w:rPr>
                <w:rFonts w:ascii="Arial" w:cs="Arial" w:eastAsia="Arial" w:hAnsi="Arial"/>
                <w:color w:val="4d5156"/>
                <w:sz w:val="21"/>
                <w:szCs w:val="21"/>
                <w:highlight w:val="white"/>
                <w:rtl w:val="0"/>
              </w:rPr>
              <w:t xml:space="preserve">160,74 USD</w:t>
            </w:r>
            <w:r w:rsidDel="00000000" w:rsidR="00000000" w:rsidRPr="00000000">
              <w:rPr>
                <w:rtl w:val="0"/>
              </w:rPr>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Use Case</w:t>
            </w:r>
          </w:p>
        </w:tc>
        <w:tc>
          <w:tcPr/>
          <w:p w:rsidR="00000000" w:rsidDel="00000000" w:rsidP="00000000" w:rsidRDefault="00000000" w:rsidRPr="00000000" w14:paraId="0000001F">
            <w:pPr>
              <w:rPr/>
            </w:pPr>
            <w:r w:rsidDel="00000000" w:rsidR="00000000" w:rsidRPr="00000000">
              <w:rPr>
                <w:rFonts w:ascii="Arial" w:cs="Arial" w:eastAsia="Arial" w:hAnsi="Arial"/>
                <w:shd w:fill="f4f9ff" w:val="clear"/>
                <w:rtl w:val="0"/>
              </w:rPr>
              <w:t xml:space="preserve">Play2earn, NFT Game</w:t>
            </w: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ellenraster">
    <w:name w:val="Table Grid"/>
    <w:basedOn w:val="NormaleTabelle"/>
    <w:uiPriority w:val="39"/>
    <w:rsid w:val="00A3139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enabsatz">
    <w:name w:val="List Paragraph"/>
    <w:basedOn w:val="Standard"/>
    <w:uiPriority w:val="34"/>
    <w:qFormat w:val="1"/>
    <w:rsid w:val="0027511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uox8AGrUNJrGMFaThTEvE8sVRw==">AMUW2mVf05BJJQ2aGr2g1F3bfsK7UfiWA3X7koamI1sOZm+eMWiEF/0ld8iwhN2OLnophQ1pqNL2NC8p2F2iDFo3s6f39rX+CKCUKvCdV9joBfXEeoMdDYk=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2022-03-14T15:24:00Z</dcterms:created>
  <dc:creator>Corinna Reibchen</dc:creator>
</cp:coreProperties>
</file>