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8"/>
          <w:szCs w:val="28"/>
        </w:rPr>
      </w:pPr>
      <w:r w:rsidDel="00000000" w:rsidR="00000000" w:rsidRPr="00000000">
        <w:rPr>
          <w:b w:val="1"/>
          <w:sz w:val="28"/>
          <w:szCs w:val="28"/>
          <w:rtl w:val="0"/>
        </w:rPr>
        <w:t xml:space="preserve">Was ist Solana ?</w:t>
      </w:r>
    </w:p>
    <w:p w:rsidR="00000000" w:rsidDel="00000000" w:rsidP="00000000" w:rsidRDefault="00000000" w:rsidRPr="00000000" w14:paraId="00000002">
      <w:pPr>
        <w:spacing w:line="276" w:lineRule="auto"/>
        <w:rPr>
          <w:b w:val="1"/>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sz w:val="28"/>
          <w:szCs w:val="28"/>
          <w:rtl w:val="0"/>
        </w:rPr>
        <w:t xml:space="preserve">Solana ist eine dezentrale Plattform zum Ausführen von Smart Contracts, ganz ähnlich wie Ethereum, allerdings wird sie als High-Speed Blockchain bezeichnet.</w:t>
        <w:br w:type="textWrapping"/>
        <w:t xml:space="preserve">Mit der Innovation aus Kombination von Proof of Stake und Proof of History kann das System bis zu 50.000 Transaktionen pro Sekunde zu extrem geringen Gebühren durchführen und gilt deshalb als starker Konkurrent von Ethereum.</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76" w:lineRule="auto"/>
        <w:rPr>
          <w:b w:val="1"/>
          <w:sz w:val="28"/>
          <w:szCs w:val="28"/>
        </w:rPr>
      </w:pPr>
      <w:r w:rsidDel="00000000" w:rsidR="00000000" w:rsidRPr="00000000">
        <w:rPr>
          <w:sz w:val="28"/>
          <w:szCs w:val="28"/>
          <w:rtl w:val="0"/>
        </w:rPr>
        <w:t xml:space="preserve">SOL ist der Name des nativen Coins der Solana-Blockchain. </w:t>
        <w:br w:type="textWrapping"/>
        <w:br w:type="textWrapping"/>
      </w:r>
      <w:r w:rsidDel="00000000" w:rsidR="00000000" w:rsidRPr="00000000">
        <w:rPr>
          <w:b w:val="1"/>
          <w:sz w:val="28"/>
          <w:szCs w:val="28"/>
          <w:rtl w:val="0"/>
        </w:rPr>
        <w:t xml:space="preserve">Wofür braucht man den Solana Coin (SOL)?</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pacing w:line="276" w:lineRule="auto"/>
        <w:ind w:left="720" w:hanging="360"/>
        <w:rPr>
          <w:sz w:val="28"/>
          <w:szCs w:val="28"/>
        </w:rPr>
      </w:pPr>
      <w:r w:rsidDel="00000000" w:rsidR="00000000" w:rsidRPr="00000000">
        <w:rPr>
          <w:sz w:val="28"/>
          <w:szCs w:val="28"/>
          <w:rtl w:val="0"/>
        </w:rPr>
        <w:t xml:space="preserve">Staking</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pacing w:line="276" w:lineRule="auto"/>
        <w:ind w:left="720" w:hanging="360"/>
        <w:rPr>
          <w:sz w:val="28"/>
          <w:szCs w:val="28"/>
        </w:rPr>
      </w:pPr>
      <w:r w:rsidDel="00000000" w:rsidR="00000000" w:rsidRPr="00000000">
        <w:rPr>
          <w:sz w:val="28"/>
          <w:szCs w:val="28"/>
          <w:rtl w:val="0"/>
        </w:rPr>
        <w:t xml:space="preserve">Transaktionsgebühren, beispielsweise für das Ausführen von Smart Contracts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line="276" w:lineRule="auto"/>
        <w:ind w:left="720" w:hanging="360"/>
        <w:rPr>
          <w:sz w:val="28"/>
          <w:szCs w:val="28"/>
        </w:rPr>
      </w:pPr>
      <w:r w:rsidDel="00000000" w:rsidR="00000000" w:rsidRPr="00000000">
        <w:rPr>
          <w:sz w:val="28"/>
          <w:szCs w:val="28"/>
          <w:rtl w:val="0"/>
        </w:rPr>
        <w:t xml:space="preserve">Governance</w:t>
      </w:r>
    </w:p>
    <w:p w:rsidR="00000000" w:rsidDel="00000000" w:rsidP="00000000" w:rsidRDefault="00000000" w:rsidRPr="00000000" w14:paraId="00000009">
      <w:pPr>
        <w:pStyle w:val="Heading2"/>
        <w:keepNext w:val="0"/>
        <w:keepLines w:val="0"/>
        <w:pBdr>
          <w:top w:color="000000" w:space="15" w:sz="0" w:val="none"/>
          <w:bottom w:color="000000" w:space="15" w:sz="0" w:val="none"/>
          <w:between w:color="000000" w:space="15" w:sz="0" w:val="none"/>
        </w:pBdr>
        <w:spacing w:after="0" w:before="0" w:line="276" w:lineRule="auto"/>
        <w:rPr>
          <w:b w:val="0"/>
          <w:sz w:val="28"/>
          <w:szCs w:val="28"/>
        </w:rPr>
      </w:pPr>
      <w:bookmarkStart w:colFirst="0" w:colLast="0" w:name="_heading=h.dwbnx0b9n9gf" w:id="0"/>
      <w:bookmarkEnd w:id="0"/>
      <w:r w:rsidDel="00000000" w:rsidR="00000000" w:rsidRPr="00000000">
        <w:rPr>
          <w:sz w:val="28"/>
          <w:szCs w:val="28"/>
          <w:rtl w:val="0"/>
        </w:rPr>
        <w:t xml:space="preserve">Ziel von Solana</w:t>
        <w:br w:type="textWrapping"/>
      </w:r>
      <w:r w:rsidDel="00000000" w:rsidR="00000000" w:rsidRPr="00000000">
        <w:rPr>
          <w:b w:val="0"/>
          <w:sz w:val="28"/>
          <w:szCs w:val="28"/>
          <w:rtl w:val="0"/>
        </w:rPr>
        <w:t xml:space="preserve">Alle </w:t>
      </w:r>
      <w:hyperlink r:id="rId7">
        <w:r w:rsidDel="00000000" w:rsidR="00000000" w:rsidRPr="00000000">
          <w:rPr>
            <w:b w:val="0"/>
            <w:sz w:val="28"/>
            <w:szCs w:val="28"/>
            <w:rtl w:val="0"/>
          </w:rPr>
          <w:t xml:space="preserve">Blockchains</w:t>
        </w:r>
      </w:hyperlink>
      <w:r w:rsidDel="00000000" w:rsidR="00000000" w:rsidRPr="00000000">
        <w:rPr>
          <w:b w:val="0"/>
          <w:sz w:val="28"/>
          <w:szCs w:val="28"/>
          <w:rtl w:val="0"/>
        </w:rPr>
        <w:t xml:space="preserve"> müssen sich mit einer Lösung des Trilemmas “Dezentralität - Sicherheit- Skalierbarkeit” beschäftigen. Viele schaffen es nur zwei zu vereinen. Bei Bitcoin und Ethereum ist es z.B. Dezentralität und Sicherheit, dafür sind die Netzwerke sehr langsam und die Transaktionen teuer und nur beschränkt skalierbar.</w:t>
      </w:r>
    </w:p>
    <w:p w:rsidR="00000000" w:rsidDel="00000000" w:rsidP="00000000" w:rsidRDefault="00000000" w:rsidRPr="00000000" w14:paraId="0000000A">
      <w:pPr>
        <w:pBdr>
          <w:bottom w:color="000000" w:space="15" w:sz="0" w:val="none"/>
        </w:pBdr>
        <w:spacing w:line="276" w:lineRule="auto"/>
        <w:rPr>
          <w:sz w:val="28"/>
          <w:szCs w:val="28"/>
        </w:rPr>
      </w:pPr>
      <w:r w:rsidDel="00000000" w:rsidR="00000000" w:rsidRPr="00000000">
        <w:rPr>
          <w:sz w:val="28"/>
          <w:szCs w:val="28"/>
          <w:rtl w:val="0"/>
        </w:rPr>
        <w:t xml:space="preserve">Solana vereint diese drei Eigenschaften. 50.000 Transaktionen pro Sekunden sind in Zukunft möglich und über 100.000 Transaktionen pro Sekunde geplant. Zudem ist die Plattform selbst absolut dezentral und sicher.</w:t>
      </w:r>
    </w:p>
    <w:p w:rsidR="00000000" w:rsidDel="00000000" w:rsidP="00000000" w:rsidRDefault="00000000" w:rsidRPr="00000000" w14:paraId="0000000B">
      <w:pPr>
        <w:pBdr>
          <w:bottom w:color="000000" w:space="15" w:sz="0" w:val="none"/>
        </w:pBdr>
        <w:spacing w:line="276" w:lineRule="auto"/>
        <w:rPr>
          <w:sz w:val="28"/>
          <w:szCs w:val="28"/>
        </w:rPr>
      </w:pPr>
      <w:r w:rsidDel="00000000" w:rsidR="00000000" w:rsidRPr="00000000">
        <w:rPr>
          <w:sz w:val="28"/>
          <w:szCs w:val="28"/>
          <w:rtl w:val="0"/>
        </w:rPr>
        <w:t xml:space="preserve">Damit eignet sich Solana auch sehr gut für Dezentrale Apps (dApps) und dezentrale Börsen (DEX)</w:t>
      </w:r>
    </w:p>
    <w:p w:rsidR="00000000" w:rsidDel="00000000" w:rsidP="00000000" w:rsidRDefault="00000000" w:rsidRPr="00000000" w14:paraId="0000000C">
      <w:pPr>
        <w:pBdr>
          <w:bottom w:color="000000" w:space="15" w:sz="0" w:val="none"/>
        </w:pBdr>
        <w:spacing w:line="276" w:lineRule="auto"/>
        <w:rPr>
          <w:sz w:val="28"/>
          <w:szCs w:val="28"/>
        </w:rPr>
      </w:pPr>
      <w:r w:rsidDel="00000000" w:rsidR="00000000" w:rsidRPr="00000000">
        <w:rPr>
          <w:sz w:val="28"/>
          <w:szCs w:val="28"/>
          <w:rtl w:val="0"/>
        </w:rPr>
        <w:t xml:space="preserve">Abb.1: Blockchain Trilemma</w:t>
      </w:r>
    </w:p>
    <w:p w:rsidR="00000000" w:rsidDel="00000000" w:rsidP="00000000" w:rsidRDefault="00000000" w:rsidRPr="00000000" w14:paraId="0000000D">
      <w:pPr>
        <w:pBdr>
          <w:bottom w:color="000000" w:space="15" w:sz="0" w:val="none"/>
        </w:pBdr>
        <w:spacing w:line="276" w:lineRule="auto"/>
        <w:rPr>
          <w:sz w:val="28"/>
          <w:szCs w:val="28"/>
        </w:rPr>
      </w:pPr>
      <w:r w:rsidDel="00000000" w:rsidR="00000000" w:rsidRPr="00000000">
        <w:rPr>
          <w:rtl w:val="0"/>
        </w:rPr>
      </w:r>
    </w:p>
    <w:p w:rsidR="00000000" w:rsidDel="00000000" w:rsidP="00000000" w:rsidRDefault="00000000" w:rsidRPr="00000000" w14:paraId="0000000E">
      <w:pPr>
        <w:pBdr>
          <w:bottom w:color="000000" w:space="15" w:sz="0" w:val="none"/>
        </w:pBdr>
        <w:spacing w:line="276" w:lineRule="auto"/>
        <w:rPr>
          <w:sz w:val="28"/>
          <w:szCs w:val="28"/>
        </w:rPr>
      </w:pPr>
      <w:r w:rsidDel="00000000" w:rsidR="00000000" w:rsidRPr="00000000">
        <w:rPr>
          <w:sz w:val="28"/>
          <w:szCs w:val="28"/>
        </w:rPr>
        <w:drawing>
          <wp:inline distB="114300" distT="114300" distL="114300" distR="114300">
            <wp:extent cx="3915092" cy="222132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5092" cy="22213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rPr>
          <w:sz w:val="28"/>
          <w:szCs w:val="28"/>
        </w:rPr>
      </w:pPr>
      <w:r w:rsidDel="00000000" w:rsidR="00000000" w:rsidRPr="00000000">
        <w:rPr>
          <w:rtl w:val="0"/>
        </w:rPr>
      </w:r>
    </w:p>
    <w:p w:rsidR="00000000" w:rsidDel="00000000" w:rsidP="00000000" w:rsidRDefault="00000000" w:rsidRPr="00000000" w14:paraId="00000010">
      <w:pPr>
        <w:spacing w:line="276" w:lineRule="auto"/>
        <w:rPr>
          <w:sz w:val="28"/>
          <w:szCs w:val="28"/>
        </w:rPr>
      </w:pPr>
      <w:r w:rsidDel="00000000" w:rsidR="00000000" w:rsidRPr="00000000">
        <w:rPr>
          <w:rtl w:val="0"/>
        </w:rPr>
      </w:r>
    </w:p>
    <w:p w:rsidR="00000000" w:rsidDel="00000000" w:rsidP="00000000" w:rsidRDefault="00000000" w:rsidRPr="00000000" w14:paraId="00000011">
      <w:pPr>
        <w:spacing w:line="276" w:lineRule="auto"/>
        <w:rPr>
          <w:sz w:val="28"/>
          <w:szCs w:val="28"/>
        </w:rPr>
      </w:pPr>
      <w:r w:rsidDel="00000000" w:rsidR="00000000" w:rsidRPr="00000000">
        <w:rPr>
          <w:sz w:val="28"/>
          <w:szCs w:val="28"/>
          <w:rtl w:val="0"/>
        </w:rPr>
        <w:t xml:space="preserve">Fakten zu Solana</w:t>
      </w:r>
    </w:p>
    <w:p w:rsidR="00000000" w:rsidDel="00000000" w:rsidP="00000000" w:rsidRDefault="00000000" w:rsidRPr="00000000" w14:paraId="00000012">
      <w:pPr>
        <w:spacing w:line="276" w:lineRule="auto"/>
        <w:rPr>
          <w:sz w:val="28"/>
          <w:szCs w:val="28"/>
        </w:rPr>
      </w:pPr>
      <w:r w:rsidDel="00000000" w:rsidR="00000000" w:rsidRPr="00000000">
        <w:rPr>
          <w:rtl w:val="0"/>
        </w:rPr>
      </w:r>
    </w:p>
    <w:tbl>
      <w:tblPr>
        <w:tblStyle w:val="Table1"/>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13">
            <w:pPr>
              <w:spacing w:line="276" w:lineRule="auto"/>
              <w:rPr>
                <w:sz w:val="28"/>
                <w:szCs w:val="28"/>
              </w:rPr>
            </w:pPr>
            <w:r w:rsidDel="00000000" w:rsidR="00000000" w:rsidRPr="00000000">
              <w:rPr>
                <w:sz w:val="28"/>
                <w:szCs w:val="28"/>
                <w:rtl w:val="0"/>
              </w:rPr>
              <w:t xml:space="preserve">Symbol</w:t>
            </w:r>
          </w:p>
        </w:tc>
        <w:tc>
          <w:tcPr/>
          <w:p w:rsidR="00000000" w:rsidDel="00000000" w:rsidP="00000000" w:rsidRDefault="00000000" w:rsidRPr="00000000" w14:paraId="00000014">
            <w:pPr>
              <w:spacing w:line="276" w:lineRule="auto"/>
              <w:rPr>
                <w:sz w:val="28"/>
                <w:szCs w:val="28"/>
              </w:rPr>
            </w:pPr>
            <w:r w:rsidDel="00000000" w:rsidR="00000000" w:rsidRPr="00000000">
              <w:rPr>
                <w:sz w:val="28"/>
                <w:szCs w:val="28"/>
                <w:rtl w:val="0"/>
              </w:rPr>
              <w:t xml:space="preserve">SOL</w:t>
            </w:r>
          </w:p>
        </w:tc>
      </w:tr>
      <w:tr>
        <w:trPr>
          <w:cantSplit w:val="0"/>
          <w:tblHeader w:val="0"/>
        </w:trPr>
        <w:tc>
          <w:tcPr/>
          <w:p w:rsidR="00000000" w:rsidDel="00000000" w:rsidP="00000000" w:rsidRDefault="00000000" w:rsidRPr="00000000" w14:paraId="00000015">
            <w:pPr>
              <w:spacing w:line="276" w:lineRule="auto"/>
              <w:rPr>
                <w:sz w:val="28"/>
                <w:szCs w:val="28"/>
              </w:rPr>
            </w:pPr>
            <w:r w:rsidDel="00000000" w:rsidR="00000000" w:rsidRPr="00000000">
              <w:rPr>
                <w:sz w:val="28"/>
                <w:szCs w:val="28"/>
                <w:rtl w:val="0"/>
              </w:rPr>
              <w:t xml:space="preserve">Konsens Algorithmus</w:t>
            </w:r>
          </w:p>
        </w:tc>
        <w:tc>
          <w:tcPr/>
          <w:p w:rsidR="00000000" w:rsidDel="00000000" w:rsidP="00000000" w:rsidRDefault="00000000" w:rsidRPr="00000000" w14:paraId="00000016">
            <w:pPr>
              <w:spacing w:line="276" w:lineRule="auto"/>
              <w:rPr>
                <w:sz w:val="28"/>
                <w:szCs w:val="28"/>
              </w:rPr>
            </w:pPr>
            <w:r w:rsidDel="00000000" w:rsidR="00000000" w:rsidRPr="00000000">
              <w:rPr>
                <w:sz w:val="28"/>
                <w:szCs w:val="28"/>
                <w:rtl w:val="0"/>
              </w:rPr>
              <w:t xml:space="preserve">Proof of Stake &amp; Proof of History</w:t>
            </w:r>
          </w:p>
        </w:tc>
      </w:tr>
      <w:tr>
        <w:trPr>
          <w:cantSplit w:val="0"/>
          <w:tblHeader w:val="0"/>
        </w:trPr>
        <w:tc>
          <w:tcPr/>
          <w:p w:rsidR="00000000" w:rsidDel="00000000" w:rsidP="00000000" w:rsidRDefault="00000000" w:rsidRPr="00000000" w14:paraId="00000017">
            <w:pPr>
              <w:spacing w:line="276" w:lineRule="auto"/>
              <w:rPr>
                <w:sz w:val="28"/>
                <w:szCs w:val="28"/>
              </w:rPr>
            </w:pPr>
            <w:r w:rsidDel="00000000" w:rsidR="00000000" w:rsidRPr="00000000">
              <w:rPr>
                <w:sz w:val="28"/>
                <w:szCs w:val="28"/>
                <w:rtl w:val="0"/>
              </w:rPr>
              <w:t xml:space="preserve">Erfinder</w:t>
            </w:r>
          </w:p>
        </w:tc>
        <w:tc>
          <w:tcPr/>
          <w:p w:rsidR="00000000" w:rsidDel="00000000" w:rsidP="00000000" w:rsidRDefault="00000000" w:rsidRPr="00000000" w14:paraId="00000018">
            <w:pPr>
              <w:spacing w:line="276" w:lineRule="auto"/>
              <w:rPr>
                <w:sz w:val="28"/>
                <w:szCs w:val="28"/>
              </w:rPr>
            </w:pPr>
            <w:r w:rsidDel="00000000" w:rsidR="00000000" w:rsidRPr="00000000">
              <w:rPr>
                <w:rFonts w:ascii="Arial" w:cs="Arial" w:eastAsia="Arial" w:hAnsi="Arial"/>
                <w:sz w:val="28"/>
                <w:szCs w:val="28"/>
                <w:shd w:fill="f4f9ff" w:val="clear"/>
                <w:rtl w:val="0"/>
              </w:rPr>
              <w:t xml:space="preserve">Anatoly Yakovenko, Raj Gokal</w:t>
            </w:r>
            <w:r w:rsidDel="00000000" w:rsidR="00000000" w:rsidRPr="00000000">
              <w:rPr>
                <w:rtl w:val="0"/>
              </w:rPr>
            </w:r>
          </w:p>
        </w:tc>
      </w:tr>
      <w:tr>
        <w:trPr>
          <w:cantSplit w:val="0"/>
          <w:tblHeader w:val="0"/>
        </w:trPr>
        <w:tc>
          <w:tcPr/>
          <w:p w:rsidR="00000000" w:rsidDel="00000000" w:rsidP="00000000" w:rsidRDefault="00000000" w:rsidRPr="00000000" w14:paraId="00000019">
            <w:pPr>
              <w:spacing w:line="276" w:lineRule="auto"/>
              <w:rPr>
                <w:sz w:val="28"/>
                <w:szCs w:val="28"/>
              </w:rPr>
            </w:pPr>
            <w:r w:rsidDel="00000000" w:rsidR="00000000" w:rsidRPr="00000000">
              <w:rPr>
                <w:sz w:val="28"/>
                <w:szCs w:val="28"/>
                <w:rtl w:val="0"/>
              </w:rPr>
              <w:t xml:space="preserve">Veröffentlichung</w:t>
            </w:r>
          </w:p>
        </w:tc>
        <w:tc>
          <w:tcPr/>
          <w:p w:rsidR="00000000" w:rsidDel="00000000" w:rsidP="00000000" w:rsidRDefault="00000000" w:rsidRPr="00000000" w14:paraId="0000001A">
            <w:pPr>
              <w:spacing w:line="276" w:lineRule="auto"/>
              <w:rPr>
                <w:sz w:val="28"/>
                <w:szCs w:val="28"/>
              </w:rPr>
            </w:pPr>
            <w:r w:rsidDel="00000000" w:rsidR="00000000" w:rsidRPr="00000000">
              <w:rPr>
                <w:sz w:val="28"/>
                <w:szCs w:val="28"/>
                <w:rtl w:val="0"/>
              </w:rPr>
              <w:t xml:space="preserve">2017, Handelsstart 2020</w:t>
            </w:r>
          </w:p>
        </w:tc>
      </w:tr>
      <w:tr>
        <w:trPr>
          <w:cantSplit w:val="0"/>
          <w:tblHeader w:val="0"/>
        </w:trPr>
        <w:tc>
          <w:tcPr/>
          <w:p w:rsidR="00000000" w:rsidDel="00000000" w:rsidP="00000000" w:rsidRDefault="00000000" w:rsidRPr="00000000" w14:paraId="0000001B">
            <w:pPr>
              <w:spacing w:line="276" w:lineRule="auto"/>
              <w:rPr>
                <w:sz w:val="28"/>
                <w:szCs w:val="28"/>
              </w:rPr>
            </w:pPr>
            <w:r w:rsidDel="00000000" w:rsidR="00000000" w:rsidRPr="00000000">
              <w:rPr>
                <w:sz w:val="28"/>
                <w:szCs w:val="28"/>
                <w:rtl w:val="0"/>
              </w:rPr>
              <w:t xml:space="preserve">Maximale Anzahl</w:t>
            </w:r>
          </w:p>
        </w:tc>
        <w:tc>
          <w:tcPr/>
          <w:p w:rsidR="00000000" w:rsidDel="00000000" w:rsidP="00000000" w:rsidRDefault="00000000" w:rsidRPr="00000000" w14:paraId="0000001C">
            <w:pPr>
              <w:spacing w:line="276" w:lineRule="auto"/>
              <w:rPr>
                <w:sz w:val="28"/>
                <w:szCs w:val="28"/>
              </w:rPr>
            </w:pPr>
            <w:r w:rsidDel="00000000" w:rsidR="00000000" w:rsidRPr="00000000">
              <w:rPr>
                <w:sz w:val="28"/>
                <w:szCs w:val="28"/>
                <w:rtl w:val="0"/>
              </w:rPr>
              <w:t xml:space="preserve">489 Mio (ohne Gewähr)</w:t>
            </w:r>
          </w:p>
        </w:tc>
      </w:tr>
      <w:tr>
        <w:trPr>
          <w:cantSplit w:val="0"/>
          <w:tblHeader w:val="0"/>
        </w:trPr>
        <w:tc>
          <w:tcPr/>
          <w:p w:rsidR="00000000" w:rsidDel="00000000" w:rsidP="00000000" w:rsidRDefault="00000000" w:rsidRPr="00000000" w14:paraId="0000001D">
            <w:pPr>
              <w:spacing w:line="276" w:lineRule="auto"/>
              <w:rPr>
                <w:sz w:val="28"/>
                <w:szCs w:val="28"/>
              </w:rPr>
            </w:pPr>
            <w:r w:rsidDel="00000000" w:rsidR="00000000" w:rsidRPr="00000000">
              <w:rPr>
                <w:sz w:val="28"/>
                <w:szCs w:val="28"/>
                <w:rtl w:val="0"/>
              </w:rPr>
              <w:t xml:space="preserve">Marktkapitalisierung</w:t>
            </w:r>
          </w:p>
        </w:tc>
        <w:tc>
          <w:tcPr/>
          <w:p w:rsidR="00000000" w:rsidDel="00000000" w:rsidP="00000000" w:rsidRDefault="00000000" w:rsidRPr="00000000" w14:paraId="0000001E">
            <w:pPr>
              <w:spacing w:line="276" w:lineRule="auto"/>
              <w:rPr>
                <w:sz w:val="28"/>
                <w:szCs w:val="28"/>
              </w:rPr>
            </w:pPr>
            <w:r w:rsidDel="00000000" w:rsidR="00000000" w:rsidRPr="00000000">
              <w:rPr>
                <w:rFonts w:ascii="Arial" w:cs="Arial" w:eastAsia="Arial" w:hAnsi="Arial"/>
                <w:sz w:val="28"/>
                <w:szCs w:val="28"/>
                <w:shd w:fill="f4f9ff" w:val="clear"/>
                <w:rtl w:val="0"/>
              </w:rPr>
              <w:t xml:space="preserve">30.516.675.949,69 €</w:t>
            </w:r>
            <w:r w:rsidDel="00000000" w:rsidR="00000000" w:rsidRPr="00000000">
              <w:rPr>
                <w:rtl w:val="0"/>
              </w:rPr>
            </w:r>
          </w:p>
        </w:tc>
      </w:tr>
      <w:tr>
        <w:trPr>
          <w:cantSplit w:val="0"/>
          <w:tblHeader w:val="0"/>
        </w:trPr>
        <w:tc>
          <w:tcPr/>
          <w:p w:rsidR="00000000" w:rsidDel="00000000" w:rsidP="00000000" w:rsidRDefault="00000000" w:rsidRPr="00000000" w14:paraId="0000001F">
            <w:pPr>
              <w:spacing w:line="276" w:lineRule="auto"/>
              <w:rPr>
                <w:sz w:val="28"/>
                <w:szCs w:val="28"/>
              </w:rPr>
            </w:pPr>
            <w:r w:rsidDel="00000000" w:rsidR="00000000" w:rsidRPr="00000000">
              <w:rPr>
                <w:sz w:val="28"/>
                <w:szCs w:val="28"/>
                <w:rtl w:val="0"/>
              </w:rPr>
              <w:t xml:space="preserve">ATH (0611.21)</w:t>
            </w:r>
          </w:p>
        </w:tc>
        <w:tc>
          <w:tcPr/>
          <w:p w:rsidR="00000000" w:rsidDel="00000000" w:rsidP="00000000" w:rsidRDefault="00000000" w:rsidRPr="00000000" w14:paraId="00000020">
            <w:pPr>
              <w:spacing w:line="276" w:lineRule="auto"/>
              <w:rPr>
                <w:sz w:val="28"/>
                <w:szCs w:val="28"/>
              </w:rPr>
            </w:pPr>
            <w:r w:rsidDel="00000000" w:rsidR="00000000" w:rsidRPr="00000000">
              <w:rPr>
                <w:rFonts w:ascii="Arial" w:cs="Arial" w:eastAsia="Arial" w:hAnsi="Arial"/>
                <w:color w:val="4d5156"/>
                <w:sz w:val="28"/>
                <w:szCs w:val="28"/>
                <w:highlight w:val="white"/>
                <w:rtl w:val="0"/>
              </w:rPr>
              <w:t xml:space="preserve">$259.96</w:t>
            </w:r>
            <w:r w:rsidDel="00000000" w:rsidR="00000000" w:rsidRPr="00000000">
              <w:rPr>
                <w:rtl w:val="0"/>
              </w:rPr>
            </w:r>
          </w:p>
        </w:tc>
      </w:tr>
      <w:tr>
        <w:trPr>
          <w:cantSplit w:val="0"/>
          <w:tblHeader w:val="0"/>
        </w:trPr>
        <w:tc>
          <w:tcPr/>
          <w:p w:rsidR="00000000" w:rsidDel="00000000" w:rsidP="00000000" w:rsidRDefault="00000000" w:rsidRPr="00000000" w14:paraId="00000021">
            <w:pPr>
              <w:spacing w:line="276" w:lineRule="auto"/>
              <w:rPr>
                <w:sz w:val="28"/>
                <w:szCs w:val="28"/>
              </w:rPr>
            </w:pPr>
            <w:r w:rsidDel="00000000" w:rsidR="00000000" w:rsidRPr="00000000">
              <w:rPr>
                <w:sz w:val="28"/>
                <w:szCs w:val="28"/>
                <w:rtl w:val="0"/>
              </w:rPr>
              <w:t xml:space="preserve">Use Case</w:t>
            </w:r>
          </w:p>
        </w:tc>
        <w:tc>
          <w:tcPr/>
          <w:p w:rsidR="00000000" w:rsidDel="00000000" w:rsidP="00000000" w:rsidRDefault="00000000" w:rsidRPr="00000000" w14:paraId="00000022">
            <w:pPr>
              <w:spacing w:line="276" w:lineRule="auto"/>
              <w:rPr>
                <w:sz w:val="28"/>
                <w:szCs w:val="28"/>
              </w:rPr>
            </w:pPr>
            <w:r w:rsidDel="00000000" w:rsidR="00000000" w:rsidRPr="00000000">
              <w:rPr>
                <w:rFonts w:ascii="Arial" w:cs="Arial" w:eastAsia="Arial" w:hAnsi="Arial"/>
                <w:sz w:val="28"/>
                <w:szCs w:val="28"/>
                <w:shd w:fill="f4f9ff" w:val="clear"/>
                <w:rtl w:val="0"/>
              </w:rPr>
              <w:t xml:space="preserve">Infrastruktur, Smart Contracts, DApps</w:t>
            </w:r>
            <w:r w:rsidDel="00000000" w:rsidR="00000000" w:rsidRPr="00000000">
              <w:rPr>
                <w:rtl w:val="0"/>
              </w:rPr>
            </w:r>
          </w:p>
        </w:tc>
      </w:tr>
    </w:tbl>
    <w:p w:rsidR="00000000" w:rsidDel="00000000" w:rsidP="00000000" w:rsidRDefault="00000000" w:rsidRPr="00000000" w14:paraId="00000023">
      <w:pPr>
        <w:spacing w:line="276" w:lineRule="auto"/>
        <w:rPr>
          <w:sz w:val="28"/>
          <w:szCs w:val="28"/>
        </w:rPr>
      </w:pPr>
      <w:r w:rsidDel="00000000" w:rsidR="00000000" w:rsidRPr="00000000">
        <w:rPr>
          <w:rtl w:val="0"/>
        </w:rPr>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tandard" w:default="1">
    <w:name w:val="Normal"/>
    <w:qFormat w:val="1"/>
  </w:style>
  <w:style w:type="paragraph" w:styleId="berschrift1">
    <w:name w:val="heading 1"/>
    <w:basedOn w:val="Standard"/>
    <w:next w:val="Standard"/>
    <w:uiPriority w:val="9"/>
    <w:qFormat w:val="1"/>
    <w:pPr>
      <w:keepNext w:val="1"/>
      <w:keepLines w:val="1"/>
      <w:spacing w:after="120" w:before="480"/>
      <w:outlineLvl w:val="0"/>
    </w:pPr>
    <w:rPr>
      <w:b w:val="1"/>
      <w:sz w:val="48"/>
      <w:szCs w:val="48"/>
    </w:rPr>
  </w:style>
  <w:style w:type="paragraph" w:styleId="berschrift2">
    <w:name w:val="heading 2"/>
    <w:basedOn w:val="Standard"/>
    <w:next w:val="Standard"/>
    <w:uiPriority w:val="9"/>
    <w:unhideWhenUsed w:val="1"/>
    <w:qFormat w:val="1"/>
    <w:pPr>
      <w:keepNext w:val="1"/>
      <w:keepLines w:val="1"/>
      <w:spacing w:after="80" w:before="360"/>
      <w:outlineLvl w:val="1"/>
    </w:pPr>
    <w:rPr>
      <w:b w:val="1"/>
      <w:sz w:val="36"/>
      <w:szCs w:val="36"/>
    </w:rPr>
  </w:style>
  <w:style w:type="paragraph" w:styleId="berschrift3">
    <w:name w:val="heading 3"/>
    <w:basedOn w:val="Standard"/>
    <w:next w:val="Standard"/>
    <w:uiPriority w:val="9"/>
    <w:semiHidden w:val="1"/>
    <w:unhideWhenUsed w:val="1"/>
    <w:qFormat w:val="1"/>
    <w:pPr>
      <w:keepNext w:val="1"/>
      <w:keepLines w:val="1"/>
      <w:spacing w:after="80" w:before="280"/>
      <w:outlineLvl w:val="2"/>
    </w:pPr>
    <w:rPr>
      <w:b w:val="1"/>
      <w:sz w:val="28"/>
      <w:szCs w:val="28"/>
    </w:rPr>
  </w:style>
  <w:style w:type="paragraph" w:styleId="berschrift4">
    <w:name w:val="heading 4"/>
    <w:basedOn w:val="Standard"/>
    <w:next w:val="Standard"/>
    <w:uiPriority w:val="9"/>
    <w:semiHidden w:val="1"/>
    <w:unhideWhenUsed w:val="1"/>
    <w:qFormat w:val="1"/>
    <w:pPr>
      <w:keepNext w:val="1"/>
      <w:keepLines w:val="1"/>
      <w:spacing w:after="40" w:before="240"/>
      <w:outlineLvl w:val="3"/>
    </w:pPr>
    <w:rPr>
      <w:b w:val="1"/>
    </w:rPr>
  </w:style>
  <w:style w:type="paragraph" w:styleId="berschrift5">
    <w:name w:val="heading 5"/>
    <w:basedOn w:val="Standard"/>
    <w:next w:val="Standard"/>
    <w:uiPriority w:val="9"/>
    <w:semiHidden w:val="1"/>
    <w:unhideWhenUsed w:val="1"/>
    <w:qFormat w:val="1"/>
    <w:pPr>
      <w:keepNext w:val="1"/>
      <w:keepLines w:val="1"/>
      <w:spacing w:after="40" w:before="220"/>
      <w:outlineLvl w:val="4"/>
    </w:pPr>
    <w:rPr>
      <w:b w:val="1"/>
      <w:sz w:val="22"/>
      <w:szCs w:val="22"/>
    </w:rPr>
  </w:style>
  <w:style w:type="paragraph" w:styleId="berschrift6">
    <w:name w:val="heading 6"/>
    <w:basedOn w:val="Standard"/>
    <w:next w:val="Standard"/>
    <w:uiPriority w:val="9"/>
    <w:semiHidden w:val="1"/>
    <w:unhideWhenUsed w:val="1"/>
    <w:qFormat w:val="1"/>
    <w:pPr>
      <w:keepNext w:val="1"/>
      <w:keepLines w:val="1"/>
      <w:spacing w:after="40" w:before="200"/>
      <w:outlineLvl w:val="5"/>
    </w:pPr>
    <w:rPr>
      <w:b w:val="1"/>
      <w:sz w:val="20"/>
      <w:szCs w:val="20"/>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ellenraster">
    <w:name w:val="Table Grid"/>
    <w:basedOn w:val="NormaleTabelle"/>
    <w:uiPriority w:val="39"/>
    <w:rsid w:val="00A3139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enabsatz">
    <w:name w:val="List Paragraph"/>
    <w:basedOn w:val="Standard"/>
    <w:uiPriority w:val="34"/>
    <w:qFormat w:val="1"/>
    <w:rsid w:val="00275111"/>
    <w:pPr>
      <w:ind w:left="720"/>
      <w:contextualSpacing w:val="1"/>
    </w:pPr>
  </w:style>
  <w:style w:type="paragraph" w:styleId="Untertitel">
    <w:name w:val="Subtitle"/>
    <w:basedOn w:val="Standard"/>
    <w:next w:val="Standard"/>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0.0" w:type="dxa"/>
        <w:left w:w="108.0" w:type="dxa"/>
        <w:bottom w:w="0.0" w:type="dxa"/>
        <w:right w:w="108.0" w:type="dxa"/>
      </w:tblCellMar>
    </w:tblPr>
  </w:style>
  <w:style w:type="table" w:styleId="a0" w:customStyle="1">
    <w:basedOn w:val="TableNormal1"/>
    <w:tblPr>
      <w:tblStyleRowBandSize w:val="1"/>
      <w:tblStyleColBandSize w:val="1"/>
      <w:tblCellMar>
        <w:top w:w="0.0" w:type="dxa"/>
        <w:left w:w="108.0" w:type="dxa"/>
        <w:bottom w:w="0.0" w:type="dxa"/>
        <w:right w:w="108.0" w:type="dxa"/>
      </w:tblCellMar>
    </w:tblPr>
  </w:style>
  <w:style w:type="table" w:styleId="a1" w:customStyle="1">
    <w:basedOn w:val="TableNormal1"/>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cryptolist.de/blockchain"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NVGtUOEXcMtw54reOkqtfpTa9A==">AMUW2mV05HWyAPt9Go0V9WhavJG+lVI8oQS0Pf3RgHn9A7/TFWeD8W0CFUKtCnjO8crODUz30V1MIEaBvt2CSrgo8Eobput/0K1ji9ZgpHuCD94LD9ywsihMXuTbX8d/G9IIyGO/yEOg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2022-03-14T15:24:00Z</dcterms:created>
  <dc:creator>Corinna Reibchen</dc:creator>
</cp:coreProperties>
</file>