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15" w:sz="0" w:val="none"/>
          <w:right w:color="000000" w:space="0" w:sz="0" w:val="none"/>
        </w:pBdr>
        <w:spacing w:line="266.6666666666667" w:lineRule="auto"/>
        <w:rPr>
          <w:b w:val="1"/>
        </w:rPr>
      </w:pPr>
      <w:r w:rsidDel="00000000" w:rsidR="00000000" w:rsidRPr="00000000">
        <w:rPr>
          <w:b w:val="1"/>
          <w:rtl w:val="0"/>
        </w:rPr>
        <w:t xml:space="preserve">What is Solana?</w:t>
      </w:r>
    </w:p>
    <w:p w:rsidR="00000000" w:rsidDel="00000000" w:rsidP="00000000" w:rsidRDefault="00000000" w:rsidRPr="00000000" w14:paraId="00000002">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Solana is a decentralized platform for executing smart contracts, very similar to Ethereum - only it is called a high-speed blockchain.</w:t>
      </w:r>
    </w:p>
    <w:p w:rsidR="00000000" w:rsidDel="00000000" w:rsidP="00000000" w:rsidRDefault="00000000" w:rsidRPr="00000000" w14:paraId="00000004">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With the innovation of combining Proof of Stake and Proof of History, the system can carry out up to 50,000 transactions per second at extremely low fees and is therefore considered a strong competitor to Ethereum.</w:t>
      </w:r>
    </w:p>
    <w:p w:rsidR="00000000" w:rsidDel="00000000" w:rsidP="00000000" w:rsidRDefault="00000000" w:rsidRPr="00000000" w14:paraId="00000005">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SOL is the name of the native coin of the Solana blockchain.</w:t>
      </w:r>
    </w:p>
    <w:p w:rsidR="00000000" w:rsidDel="00000000" w:rsidP="00000000" w:rsidRDefault="00000000" w:rsidRPr="00000000" w14:paraId="00000007">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What do you need the Solana Coin (SOL) for?</w:t>
      </w:r>
    </w:p>
    <w:p w:rsidR="00000000" w:rsidDel="00000000" w:rsidP="00000000" w:rsidRDefault="00000000" w:rsidRPr="00000000" w14:paraId="00000009">
      <w:pPr>
        <w:numPr>
          <w:ilvl w:val="0"/>
          <w:numId w:val="1"/>
        </w:numPr>
        <w:pBdr>
          <w:top w:color="000000" w:space="0" w:sz="0" w:val="none"/>
          <w:left w:color="000000" w:space="0" w:sz="0" w:val="none"/>
          <w:bottom w:color="000000" w:space="15" w:sz="0" w:val="none"/>
          <w:right w:color="000000" w:space="0" w:sz="0" w:val="none"/>
        </w:pBdr>
        <w:spacing w:line="266.6666666666667" w:lineRule="auto"/>
        <w:ind w:left="720" w:hanging="360"/>
        <w:rPr>
          <w:u w:val="none"/>
        </w:rPr>
      </w:pPr>
      <w:r w:rsidDel="00000000" w:rsidR="00000000" w:rsidRPr="00000000">
        <w:rPr>
          <w:rtl w:val="0"/>
        </w:rPr>
        <w:t xml:space="preserve">staking</w:t>
      </w:r>
    </w:p>
    <w:p w:rsidR="00000000" w:rsidDel="00000000" w:rsidP="00000000" w:rsidRDefault="00000000" w:rsidRPr="00000000" w14:paraId="0000000A">
      <w:pPr>
        <w:numPr>
          <w:ilvl w:val="0"/>
          <w:numId w:val="1"/>
        </w:numPr>
        <w:pBdr>
          <w:top w:color="000000" w:space="0" w:sz="0" w:val="none"/>
          <w:left w:color="000000" w:space="0" w:sz="0" w:val="none"/>
          <w:bottom w:color="000000" w:space="15" w:sz="0" w:val="none"/>
          <w:right w:color="000000" w:space="0" w:sz="0" w:val="none"/>
        </w:pBdr>
        <w:spacing w:line="266.6666666666667" w:lineRule="auto"/>
        <w:ind w:left="720" w:hanging="360"/>
        <w:rPr>
          <w:u w:val="none"/>
        </w:rPr>
      </w:pPr>
      <w:r w:rsidDel="00000000" w:rsidR="00000000" w:rsidRPr="00000000">
        <w:rPr>
          <w:rtl w:val="0"/>
        </w:rPr>
        <w:t xml:space="preserve">Transaction fees (e.g. for executing smart contracts)</w:t>
      </w:r>
    </w:p>
    <w:p w:rsidR="00000000" w:rsidDel="00000000" w:rsidP="00000000" w:rsidRDefault="00000000" w:rsidRPr="00000000" w14:paraId="0000000B">
      <w:pPr>
        <w:numPr>
          <w:ilvl w:val="0"/>
          <w:numId w:val="1"/>
        </w:numPr>
        <w:pBdr>
          <w:top w:color="000000" w:space="0" w:sz="0" w:val="none"/>
          <w:left w:color="000000" w:space="0" w:sz="0" w:val="none"/>
          <w:bottom w:color="000000" w:space="15" w:sz="0" w:val="none"/>
          <w:right w:color="000000" w:space="0" w:sz="0" w:val="none"/>
        </w:pBdr>
        <w:spacing w:line="266.6666666666667" w:lineRule="auto"/>
        <w:ind w:left="720" w:hanging="360"/>
        <w:rPr>
          <w:u w:val="none"/>
        </w:rPr>
      </w:pPr>
      <w:r w:rsidDel="00000000" w:rsidR="00000000" w:rsidRPr="00000000">
        <w:rPr>
          <w:rtl w:val="0"/>
        </w:rPr>
        <w:t xml:space="preserve">governance</w:t>
      </w:r>
    </w:p>
    <w:p w:rsidR="00000000" w:rsidDel="00000000" w:rsidP="00000000" w:rsidRDefault="00000000" w:rsidRPr="00000000" w14:paraId="0000000C">
      <w:pPr>
        <w:pBdr>
          <w:top w:color="000000" w:space="0" w:sz="0" w:val="none"/>
          <w:left w:color="000000" w:space="0" w:sz="0" w:val="none"/>
          <w:bottom w:color="000000" w:space="15" w:sz="0" w:val="none"/>
          <w:right w:color="000000" w:space="0" w:sz="0" w:val="none"/>
        </w:pBdr>
        <w:spacing w:line="266.6666666666667" w:lineRule="auto"/>
        <w:rPr>
          <w:b w:val="1"/>
        </w:rPr>
      </w:pPr>
      <w:r w:rsidDel="00000000" w:rsidR="00000000" w:rsidRPr="00000000">
        <w:rPr>
          <w:b w:val="1"/>
          <w:rtl w:val="0"/>
        </w:rPr>
        <w:t xml:space="preserve">Goal of Solana ?</w:t>
      </w:r>
    </w:p>
    <w:p w:rsidR="00000000" w:rsidDel="00000000" w:rsidP="00000000" w:rsidRDefault="00000000" w:rsidRPr="00000000" w14:paraId="0000000D">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All blockchains must deal with a solution to the trilemma "decentralization - security - scalability"(see Abb.1). Many only manage to combine two. With Bitcoin and Ethereum, for example, it is decentralization and security, but the networks are very slow and the transactions are expensive and only scalable to a limited extent.</w:t>
      </w:r>
    </w:p>
    <w:p w:rsidR="00000000" w:rsidDel="00000000" w:rsidP="00000000" w:rsidRDefault="00000000" w:rsidRPr="00000000" w14:paraId="0000000E">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Solana speaks of itself as perfectly combining the 3 properties - like no other blockchain. 50,000 transactions per second are possible, more than 100,000 transactions per second are planned in the future, the platform itself should be absolutely decentralized and secure.</w:t>
      </w:r>
    </w:p>
    <w:p w:rsidR="00000000" w:rsidDel="00000000" w:rsidP="00000000" w:rsidRDefault="00000000" w:rsidRPr="00000000" w14:paraId="0000000F">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t xml:space="preserve">Solana is therefore also very well suited for decentralized apps (dApps) and decentralized exchanges (DEX)</w:t>
      </w:r>
    </w:p>
    <w:p w:rsidR="00000000" w:rsidDel="00000000" w:rsidP="00000000" w:rsidRDefault="00000000" w:rsidRPr="00000000" w14:paraId="00000010">
      <w:pPr>
        <w:pBdr>
          <w:top w:color="000000" w:space="0" w:sz="0" w:val="none"/>
          <w:left w:color="000000" w:space="0" w:sz="0" w:val="none"/>
          <w:bottom w:color="000000" w:space="15" w:sz="0" w:val="none"/>
          <w:right w:color="000000" w:space="0" w:sz="0" w:val="none"/>
        </w:pBdr>
        <w:spacing w:after="0" w:before="0" w:line="308.5714285714286" w:lineRule="auto"/>
        <w:rPr/>
      </w:pPr>
      <w:r w:rsidDel="00000000" w:rsidR="00000000" w:rsidRPr="00000000">
        <w:rPr>
          <w:rtl w:val="0"/>
        </w:rPr>
        <w:t xml:space="preserve">Fig.1: Blockchain trilemma</w:t>
      </w:r>
    </w:p>
    <w:p w:rsidR="00000000" w:rsidDel="00000000" w:rsidP="00000000" w:rsidRDefault="00000000" w:rsidRPr="00000000" w14:paraId="00000011">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15" w:sz="0" w:val="none"/>
          <w:right w:color="000000" w:space="0" w:sz="0" w:val="none"/>
        </w:pBdr>
        <w:spacing w:line="266.6666666666667" w:lineRule="auto"/>
        <w:rPr/>
      </w:pPr>
      <w:r w:rsidDel="00000000" w:rsidR="00000000" w:rsidRPr="00000000">
        <w:rPr/>
        <w:drawing>
          <wp:inline distB="114300" distT="114300" distL="114300" distR="114300">
            <wp:extent cx="1343343" cy="76460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43343" cy="76460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Solana Facts</w:t>
      </w:r>
    </w:p>
    <w:p w:rsidR="00000000" w:rsidDel="00000000" w:rsidP="00000000" w:rsidRDefault="00000000" w:rsidRPr="00000000" w14:paraId="00000015">
      <w:pPr>
        <w:rPr/>
      </w:pPr>
      <w:r w:rsidDel="00000000" w:rsidR="00000000" w:rsidRPr="00000000">
        <w:rPr>
          <w:rtl w:val="0"/>
        </w:rPr>
      </w:r>
    </w:p>
    <w:tbl>
      <w:tblPr>
        <w:tblStyle w:val="Table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16">
            <w:pPr>
              <w:rPr/>
            </w:pPr>
            <w:r w:rsidDel="00000000" w:rsidR="00000000" w:rsidRPr="00000000">
              <w:rPr>
                <w:rtl w:val="0"/>
              </w:rPr>
              <w:t xml:space="preserve">Symbol</w:t>
            </w:r>
          </w:p>
        </w:tc>
        <w:tc>
          <w:tcPr/>
          <w:p w:rsidR="00000000" w:rsidDel="00000000" w:rsidP="00000000" w:rsidRDefault="00000000" w:rsidRPr="00000000" w14:paraId="00000017">
            <w:pPr>
              <w:rPr/>
            </w:pPr>
            <w:r w:rsidDel="00000000" w:rsidR="00000000" w:rsidRPr="00000000">
              <w:rPr>
                <w:rtl w:val="0"/>
              </w:rPr>
              <w:t xml:space="preserve">SOL</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Konsens Algorithmus</w:t>
            </w:r>
          </w:p>
        </w:tc>
        <w:tc>
          <w:tcPr/>
          <w:p w:rsidR="00000000" w:rsidDel="00000000" w:rsidP="00000000" w:rsidRDefault="00000000" w:rsidRPr="00000000" w14:paraId="00000019">
            <w:pPr>
              <w:rPr/>
            </w:pPr>
            <w:r w:rsidDel="00000000" w:rsidR="00000000" w:rsidRPr="00000000">
              <w:rPr>
                <w:rtl w:val="0"/>
              </w:rPr>
              <w:t xml:space="preserve">Proof of Stake &amp; Proof of History</w:t>
            </w:r>
          </w:p>
        </w:tc>
      </w:tr>
      <w:tr>
        <w:trPr>
          <w:cantSplit w:val="0"/>
          <w:tblHeader w:val="0"/>
        </w:trPr>
        <w:tc>
          <w:tcPr/>
          <w:p w:rsidR="00000000" w:rsidDel="00000000" w:rsidP="00000000" w:rsidRDefault="00000000" w:rsidRPr="00000000" w14:paraId="0000001A">
            <w:pPr>
              <w:rPr/>
            </w:pPr>
            <w:r w:rsidDel="00000000" w:rsidR="00000000" w:rsidRPr="00000000">
              <w:rPr>
                <w:rtl w:val="0"/>
              </w:rPr>
              <w:t xml:space="preserve">Founder</w:t>
            </w:r>
          </w:p>
        </w:tc>
        <w:tc>
          <w:tcPr/>
          <w:p w:rsidR="00000000" w:rsidDel="00000000" w:rsidP="00000000" w:rsidRDefault="00000000" w:rsidRPr="00000000" w14:paraId="0000001B">
            <w:pPr>
              <w:rPr/>
            </w:pPr>
            <w:r w:rsidDel="00000000" w:rsidR="00000000" w:rsidRPr="00000000">
              <w:rPr>
                <w:rFonts w:ascii="Arial" w:cs="Arial" w:eastAsia="Arial" w:hAnsi="Arial"/>
                <w:shd w:fill="f4f9ff" w:val="clear"/>
                <w:rtl w:val="0"/>
              </w:rPr>
              <w:t xml:space="preserve">Anatoly Yakovenko, Raj Gokal</w:t>
            </w:r>
            <w:r w:rsidDel="00000000" w:rsidR="00000000" w:rsidRPr="00000000">
              <w:rPr>
                <w:rtl w:val="0"/>
              </w:rPr>
            </w:r>
          </w:p>
        </w:tc>
      </w:tr>
      <w:tr>
        <w:trPr>
          <w:cantSplit w:val="0"/>
          <w:tblHeader w:val="0"/>
        </w:trPr>
        <w:tc>
          <w:tcPr/>
          <w:p w:rsidR="00000000" w:rsidDel="00000000" w:rsidP="00000000" w:rsidRDefault="00000000" w:rsidRPr="00000000" w14:paraId="0000001C">
            <w:pPr>
              <w:rPr/>
            </w:pPr>
            <w:r w:rsidDel="00000000" w:rsidR="00000000" w:rsidRPr="00000000">
              <w:rPr>
                <w:rtl w:val="0"/>
              </w:rPr>
              <w:t xml:space="preserve">Publication</w:t>
            </w:r>
          </w:p>
        </w:tc>
        <w:tc>
          <w:tcPr/>
          <w:p w:rsidR="00000000" w:rsidDel="00000000" w:rsidP="00000000" w:rsidRDefault="00000000" w:rsidRPr="00000000" w14:paraId="0000001D">
            <w:pPr>
              <w:rPr/>
            </w:pPr>
            <w:r w:rsidDel="00000000" w:rsidR="00000000" w:rsidRPr="00000000">
              <w:rPr>
                <w:rtl w:val="0"/>
              </w:rPr>
              <w:t xml:space="preserve">2017, Handelsstart 2020</w:t>
            </w:r>
          </w:p>
        </w:tc>
      </w:tr>
      <w:tr>
        <w:trPr>
          <w:cantSplit w:val="0"/>
          <w:tblHeader w:val="0"/>
        </w:trPr>
        <w:tc>
          <w:tcPr/>
          <w:p w:rsidR="00000000" w:rsidDel="00000000" w:rsidP="00000000" w:rsidRDefault="00000000" w:rsidRPr="00000000" w14:paraId="0000001E">
            <w:pPr>
              <w:rPr/>
            </w:pPr>
            <w:r w:rsidDel="00000000" w:rsidR="00000000" w:rsidRPr="00000000">
              <w:rPr>
                <w:rtl w:val="0"/>
              </w:rPr>
              <w:t xml:space="preserve">Max</w:t>
            </w:r>
          </w:p>
        </w:tc>
        <w:tc>
          <w:tcPr/>
          <w:p w:rsidR="00000000" w:rsidDel="00000000" w:rsidP="00000000" w:rsidRDefault="00000000" w:rsidRPr="00000000" w14:paraId="0000001F">
            <w:pPr>
              <w:rPr/>
            </w:pPr>
            <w:r w:rsidDel="00000000" w:rsidR="00000000" w:rsidRPr="00000000">
              <w:rPr>
                <w:rtl w:val="0"/>
              </w:rPr>
              <w:t xml:space="preserve">489 Mio (ohne Gewähr)</w:t>
            </w:r>
          </w:p>
        </w:tc>
      </w:tr>
      <w:tr>
        <w:trPr>
          <w:cantSplit w:val="0"/>
          <w:tblHeader w:val="0"/>
        </w:trPr>
        <w:tc>
          <w:tcPr/>
          <w:p w:rsidR="00000000" w:rsidDel="00000000" w:rsidP="00000000" w:rsidRDefault="00000000" w:rsidRPr="00000000" w14:paraId="00000020">
            <w:pPr>
              <w:rPr/>
            </w:pPr>
            <w:r w:rsidDel="00000000" w:rsidR="00000000" w:rsidRPr="00000000">
              <w:rPr>
                <w:rtl w:val="0"/>
              </w:rPr>
              <w:t xml:space="preserve">Market Capitalisation</w:t>
            </w:r>
          </w:p>
        </w:tc>
        <w:tc>
          <w:tcPr/>
          <w:p w:rsidR="00000000" w:rsidDel="00000000" w:rsidP="00000000" w:rsidRDefault="00000000" w:rsidRPr="00000000" w14:paraId="00000021">
            <w:pPr>
              <w:rPr/>
            </w:pPr>
            <w:r w:rsidDel="00000000" w:rsidR="00000000" w:rsidRPr="00000000">
              <w:rPr>
                <w:rFonts w:ascii="Arial" w:cs="Arial" w:eastAsia="Arial" w:hAnsi="Arial"/>
                <w:shd w:fill="f4f9ff" w:val="clear"/>
                <w:rtl w:val="0"/>
              </w:rPr>
              <w:t xml:space="preserve">30.516.675.949,69 €</w:t>
            </w:r>
            <w:r w:rsidDel="00000000" w:rsidR="00000000" w:rsidRPr="00000000">
              <w:rPr>
                <w:rtl w:val="0"/>
              </w:rPr>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ATH (06.11.21)</w:t>
            </w:r>
          </w:p>
        </w:tc>
        <w:tc>
          <w:tcPr/>
          <w:p w:rsidR="00000000" w:rsidDel="00000000" w:rsidP="00000000" w:rsidRDefault="00000000" w:rsidRPr="00000000" w14:paraId="00000023">
            <w:pPr>
              <w:rPr/>
            </w:pPr>
            <w:r w:rsidDel="00000000" w:rsidR="00000000" w:rsidRPr="00000000">
              <w:rPr>
                <w:rFonts w:ascii="Arial" w:cs="Arial" w:eastAsia="Arial" w:hAnsi="Arial"/>
                <w:color w:val="4d5156"/>
                <w:sz w:val="21"/>
                <w:szCs w:val="21"/>
                <w:highlight w:val="white"/>
                <w:rtl w:val="0"/>
              </w:rPr>
              <w:t xml:space="preserve">$259.96</w:t>
            </w:r>
            <w:r w:rsidDel="00000000" w:rsidR="00000000" w:rsidRPr="00000000">
              <w:rPr>
                <w:rtl w:val="0"/>
              </w:rPr>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Use Case</w:t>
            </w:r>
          </w:p>
        </w:tc>
        <w:tc>
          <w:tcPr/>
          <w:p w:rsidR="00000000" w:rsidDel="00000000" w:rsidP="00000000" w:rsidRDefault="00000000" w:rsidRPr="00000000" w14:paraId="00000025">
            <w:pPr>
              <w:rPr/>
            </w:pPr>
            <w:r w:rsidDel="00000000" w:rsidR="00000000" w:rsidRPr="00000000">
              <w:rPr>
                <w:rFonts w:ascii="Arial" w:cs="Arial" w:eastAsia="Arial" w:hAnsi="Arial"/>
                <w:shd w:fill="f4f9ff" w:val="clear"/>
                <w:rtl w:val="0"/>
              </w:rPr>
              <w:t xml:space="preserve">Infrastructur, Smart Contracts, DApps</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default="1">
    <w:name w:val="Normal"/>
    <w:qFormat w:val="1"/>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ellenraster">
    <w:name w:val="Table Grid"/>
    <w:basedOn w:val="NormaleTabelle"/>
    <w:uiPriority w:val="39"/>
    <w:rsid w:val="00A3139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enabsatz">
    <w:name w:val="List Paragraph"/>
    <w:basedOn w:val="Standard"/>
    <w:uiPriority w:val="34"/>
    <w:qFormat w:val="1"/>
    <w:rsid w:val="0027511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wqyDHmlP6DXwjoPr3mqzRqXVZQ==">AMUW2mUEdHilafkIZUfsjvcFug4BKiBIeTxJuD6slb+4Q3Fnx38X5dClPrj1xmJSeAi7ZT+OAPL8BvaMpxQe/XJ7OT5POpkavHJm8j73HppNjiJicTjZR+0=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2022-03-14T15:24:00Z</dcterms:created>
  <dc:creator>Corinna Reibchen</dc:creator>
</cp:coreProperties>
</file>