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Was ist Uniswap Coin (UNI) - Dezentrale Börse und Yield Farming vereint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Uniswap ist eine dezentrale Handelsplattform auf Basis der Ethereum Blockchain. Sie macht Token Swaps möglich, bei welchen Trader Ethereum Token (ERC-20) tauschen können, ohne dabei einem Mittelsmann vertrauen zu müssen. Gleichzeitig kann jeder seine Token für sog. Liquidity Pools zur Verfügung stellen und dadurch Geld verdienen.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Wie funktioniert Uniswap</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Anders als viele andere Exchanges arbeitet Uniswap nicht mit den sonst üblichen </w:t>
      </w:r>
      <w:r w:rsidDel="00000000" w:rsidR="00000000" w:rsidRPr="00000000">
        <w:rPr>
          <w:rtl w:val="0"/>
        </w:rPr>
        <w:t xml:space="preserve">Order Books</w:t>
      </w:r>
      <w:r w:rsidDel="00000000" w:rsidR="00000000" w:rsidRPr="00000000">
        <w:rPr>
          <w:rtl w:val="0"/>
        </w:rPr>
        <w:t xml:space="preserve">, sondern kalkuliert den Preis eines Tokens aus der konkret </w:t>
      </w:r>
      <w:r w:rsidDel="00000000" w:rsidR="00000000" w:rsidRPr="00000000">
        <w:rPr>
          <w:rtl w:val="0"/>
        </w:rPr>
        <w:t xml:space="preserve">zur Verfügung stehenden Liquidität</w:t>
      </w:r>
      <w:r w:rsidDel="00000000" w:rsidR="00000000" w:rsidRPr="00000000">
        <w:rPr>
          <w:rtl w:val="0"/>
        </w:rPr>
        <w:t xml:space="preserve">. Dadurch sollen Swaps per Uniswap schneller sein als auf vergleichbaren Plattformen. Der native Token (UNI) des Systems dient der Verwaltung und Governance des Uniswap Protokolls und Ökosystems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15" w:sz="0" w:val="none"/>
          <w:left w:color="auto" w:space="0" w:sz="0" w:val="none"/>
          <w:bottom w:color="auto" w:space="15" w:sz="0" w:val="none"/>
          <w:right w:color="auto" w:space="0" w:sz="0" w:val="none"/>
          <w:between w:color="auto" w:space="15" w:sz="0" w:val="none"/>
        </w:pBdr>
        <w:spacing w:after="0" w:before="0" w:line="384.00000000000006" w:lineRule="auto"/>
        <w:rPr>
          <w:rFonts w:ascii="Montserrat" w:cs="Montserrat" w:eastAsia="Montserrat" w:hAnsi="Montserrat"/>
          <w:sz w:val="45"/>
          <w:szCs w:val="45"/>
        </w:rPr>
      </w:pPr>
      <w:bookmarkStart w:colFirst="0" w:colLast="0" w:name="_heading=h.ym2o8z65cqld" w:id="0"/>
      <w:bookmarkEnd w:id="0"/>
      <w:r w:rsidDel="00000000" w:rsidR="00000000" w:rsidRPr="00000000">
        <w:rPr>
          <w:rFonts w:ascii="Montserrat" w:cs="Montserrat" w:eastAsia="Montserrat" w:hAnsi="Montserrat"/>
          <w:sz w:val="45"/>
          <w:szCs w:val="45"/>
          <w:rtl w:val="0"/>
        </w:rPr>
        <w:t xml:space="preserve">Warum gibt es Uniswap?</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spacing w:line="266.6666666666667" w:lineRule="auto"/>
        <w:rPr>
          <w:rFonts w:ascii="Arial" w:cs="Arial" w:eastAsia="Arial" w:hAnsi="Arial"/>
          <w:color w:val="222222"/>
          <w:sz w:val="27"/>
          <w:szCs w:val="27"/>
        </w:rPr>
      </w:pPr>
      <w:r w:rsidDel="00000000" w:rsidR="00000000" w:rsidRPr="00000000">
        <w:rPr>
          <w:rtl w:val="0"/>
        </w:rPr>
        <w:t xml:space="preserve">Große </w:t>
      </w:r>
      <w:r w:rsidDel="00000000" w:rsidR="00000000" w:rsidRPr="00000000">
        <w:rPr>
          <w:rtl w:val="0"/>
        </w:rPr>
        <w:t xml:space="preserve">Handelsplattformen</w:t>
      </w:r>
      <w:r w:rsidDel="00000000" w:rsidR="00000000" w:rsidRPr="00000000">
        <w:rPr>
          <w:rtl w:val="0"/>
        </w:rPr>
        <w:t xml:space="preserve"> spielen in der Welt der </w:t>
      </w:r>
      <w:hyperlink r:id="rId7">
        <w:r w:rsidDel="00000000" w:rsidR="00000000" w:rsidRPr="00000000">
          <w:rPr>
            <w:rtl w:val="0"/>
          </w:rPr>
          <w:t xml:space="preserve">Kryptowährungen</w:t>
        </w:r>
      </w:hyperlink>
      <w:r w:rsidDel="00000000" w:rsidR="00000000" w:rsidRPr="00000000">
        <w:rPr>
          <w:rtl w:val="0"/>
        </w:rPr>
        <w:t xml:space="preserve"> nach wie vor eine </w:t>
      </w:r>
      <w:r w:rsidDel="00000000" w:rsidR="00000000" w:rsidRPr="00000000">
        <w:rPr>
          <w:rtl w:val="0"/>
        </w:rPr>
        <w:t xml:space="preserve">zentrale Rolle</w:t>
      </w:r>
      <w:r w:rsidDel="00000000" w:rsidR="00000000" w:rsidRPr="00000000">
        <w:rPr>
          <w:rtl w:val="0"/>
        </w:rPr>
        <w:t xml:space="preserve">. Wer ernsthaft mit </w:t>
      </w:r>
      <w:hyperlink r:id="rId8">
        <w:r w:rsidDel="00000000" w:rsidR="00000000" w:rsidRPr="00000000">
          <w:rPr>
            <w:rtl w:val="0"/>
          </w:rPr>
          <w:t xml:space="preserve">Ethereum</w:t>
        </w:r>
      </w:hyperlink>
      <w:r w:rsidDel="00000000" w:rsidR="00000000" w:rsidRPr="00000000">
        <w:rPr>
          <w:rtl w:val="0"/>
        </w:rPr>
        <w:t xml:space="preserve">, </w:t>
      </w:r>
      <w:hyperlink r:id="rId9">
        <w:r w:rsidDel="00000000" w:rsidR="00000000" w:rsidRPr="00000000">
          <w:rPr>
            <w:rtl w:val="0"/>
          </w:rPr>
          <w:t xml:space="preserve">Bitcoin</w:t>
        </w:r>
      </w:hyperlink>
      <w:r w:rsidDel="00000000" w:rsidR="00000000" w:rsidRPr="00000000">
        <w:rPr>
          <w:rtl w:val="0"/>
        </w:rPr>
        <w:t xml:space="preserve"> und Co. handeln möchte, kommt an Diensten wie Coinbase oder Kraken kaum vorbei. Das Problem: Wer auf diesen Plattformen handelt, gibt seine </w:t>
      </w:r>
      <w:r w:rsidDel="00000000" w:rsidR="00000000" w:rsidRPr="00000000">
        <w:rPr>
          <w:rtl w:val="0"/>
        </w:rPr>
        <w:t xml:space="preserve">Kryptowährungen in fremde Hände</w:t>
      </w:r>
      <w:r w:rsidDel="00000000" w:rsidR="00000000" w:rsidRPr="00000000">
        <w:rPr>
          <w:rtl w:val="0"/>
        </w:rPr>
        <w:t xml:space="preserve">. Einer der wesentlichen Vorteile, den die virtuellen Währungen bieten, fällt damit weg: die </w:t>
      </w:r>
      <w:r w:rsidDel="00000000" w:rsidR="00000000" w:rsidRPr="00000000">
        <w:rPr>
          <w:rtl w:val="0"/>
        </w:rPr>
        <w:t xml:space="preserve">Unabhängigkeit von großen Institutionen</w:t>
      </w:r>
      <w:r w:rsidDel="00000000" w:rsidR="00000000" w:rsidRPr="00000000">
        <w:rPr>
          <w:rtl w:val="0"/>
        </w:rPr>
        <w:t xml:space="preserve">. Mit eigenen </w:t>
      </w:r>
      <w:r w:rsidDel="00000000" w:rsidR="00000000" w:rsidRPr="00000000">
        <w:rPr>
          <w:rtl w:val="0"/>
        </w:rPr>
        <w:t xml:space="preserve">dezentralen Handelssystemen</w:t>
      </w:r>
      <w:r w:rsidDel="00000000" w:rsidR="00000000" w:rsidRPr="00000000">
        <w:rPr>
          <w:rtl w:val="0"/>
        </w:rPr>
        <w:t xml:space="preserve"> versucht die </w:t>
      </w:r>
      <w:hyperlink r:id="rId10">
        <w:r w:rsidDel="00000000" w:rsidR="00000000" w:rsidRPr="00000000">
          <w:rPr>
            <w:rtl w:val="0"/>
          </w:rPr>
          <w:t xml:space="preserve">DeFi</w:t>
        </w:r>
      </w:hyperlink>
      <w:r w:rsidDel="00000000" w:rsidR="00000000" w:rsidRPr="00000000">
        <w:rPr>
          <w:rtl w:val="0"/>
        </w:rPr>
        <w:t xml:space="preserve">-Szene daher bereits seit einigen Jahren, Möglichkeiten zu schaffen, den Handel der unterschiedlichen Coins und Tokens von</w:t>
      </w:r>
      <w:r w:rsidDel="00000000" w:rsidR="00000000" w:rsidRPr="00000000">
        <w:rPr>
          <w:rFonts w:ascii="Arial" w:cs="Arial" w:eastAsia="Arial" w:hAnsi="Arial"/>
          <w:color w:val="222222"/>
          <w:sz w:val="27"/>
          <w:szCs w:val="27"/>
          <w:rtl w:val="0"/>
        </w:rPr>
        <w:t xml:space="preserve"> den zentralisierten Plattformen (z. B. </w:t>
      </w:r>
      <w:hyperlink r:id="rId11">
        <w:r w:rsidDel="00000000" w:rsidR="00000000" w:rsidRPr="00000000">
          <w:rPr>
            <w:rFonts w:ascii="Arial" w:cs="Arial" w:eastAsia="Arial" w:hAnsi="Arial"/>
            <w:color w:val="1a6ee1"/>
            <w:sz w:val="27"/>
            <w:szCs w:val="27"/>
            <w:rtl w:val="0"/>
          </w:rPr>
          <w:t xml:space="preserve">Binance</w:t>
        </w:r>
      </w:hyperlink>
      <w:r w:rsidDel="00000000" w:rsidR="00000000" w:rsidRPr="00000000">
        <w:rPr>
          <w:rFonts w:ascii="Arial" w:cs="Arial" w:eastAsia="Arial" w:hAnsi="Arial"/>
          <w:color w:val="222222"/>
          <w:sz w:val="27"/>
          <w:szCs w:val="27"/>
          <w:rtl w:val="0"/>
        </w:rPr>
        <w:t xml:space="preserve"> oder Coinbase) zu lösen.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Besonderheiten bei Uniswap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Uniswap unterscheidet sich auf den ersten Blick vor allem in einem wichtigen Punkt von anderen dezentralen Handelsplattformen: Es gibt </w:t>
      </w:r>
      <w:r w:rsidDel="00000000" w:rsidR="00000000" w:rsidRPr="00000000">
        <w:rPr>
          <w:rtl w:val="0"/>
        </w:rPr>
        <w:t xml:space="preserve">keine Auftragsbücher</w:t>
      </w:r>
      <w:r w:rsidDel="00000000" w:rsidR="00000000" w:rsidRPr="00000000">
        <w:rPr>
          <w:rtl w:val="0"/>
        </w:rPr>
        <w:t xml:space="preserve">. Wer schon einmal mit Kryptowährungen gehandelt hat, weiß, dass die meisten Plattformen, egal ob zentral oder dezentral, mit sogenannten </w:t>
      </w:r>
      <w:r w:rsidDel="00000000" w:rsidR="00000000" w:rsidRPr="00000000">
        <w:rPr>
          <w:rtl w:val="0"/>
        </w:rPr>
        <w:t xml:space="preserve">Order Books</w:t>
      </w:r>
      <w:r w:rsidDel="00000000" w:rsidR="00000000" w:rsidRPr="00000000">
        <w:rPr>
          <w:rtl w:val="0"/>
        </w:rPr>
        <w:t xml:space="preserve"> arbeiten. Wer beispielsweise Bitcoin gegen Ether wechseln möchte, veröffentlicht ein Angebot und hofft, dass jemand darauf eingeht. Wer aktiv traden will, um an Kursveränderungen mitzuverdienen, muss seine Handelsgebote regelmäßig prüfen und an die aktuellen Marktbedingungen anpassen. Das bedeutet zusätzliche Arbeit oder sogar die Notwendigkeit, clevere Tradingbots zu entwickeln, die autonom kaufen und verkaufen und es so auch bei wenig volatilen Kursen ermöglichen, Gewinne zu realisieren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Kurzübersicht Uniswap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19">
            <w:pPr>
              <w:rPr/>
            </w:pPr>
            <w:r w:rsidDel="00000000" w:rsidR="00000000" w:rsidRPr="00000000">
              <w:rPr>
                <w:rtl w:val="0"/>
              </w:rPr>
              <w:t xml:space="preserve">Symbol</w:t>
            </w:r>
          </w:p>
        </w:tc>
        <w:tc>
          <w:tcPr/>
          <w:p w:rsidR="00000000" w:rsidDel="00000000" w:rsidP="00000000" w:rsidRDefault="00000000" w:rsidRPr="00000000" w14:paraId="0000001A">
            <w:pPr>
              <w:rPr/>
            </w:pPr>
            <w:r w:rsidDel="00000000" w:rsidR="00000000" w:rsidRPr="00000000">
              <w:rPr>
                <w:rtl w:val="0"/>
              </w:rPr>
              <w:t xml:space="preserve">DOT</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Konsens Algorithmus</w:t>
            </w:r>
          </w:p>
        </w:tc>
        <w:tc>
          <w:tcPr/>
          <w:p w:rsidR="00000000" w:rsidDel="00000000" w:rsidP="00000000" w:rsidRDefault="00000000" w:rsidRPr="00000000" w14:paraId="0000001C">
            <w:pPr>
              <w:rPr/>
            </w:pPr>
            <w:r w:rsidDel="00000000" w:rsidR="00000000" w:rsidRPr="00000000">
              <w:rPr>
                <w:rtl w:val="0"/>
              </w:rPr>
              <w:t xml:space="preserve">Proof of Work</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Erfinder</w:t>
            </w:r>
          </w:p>
        </w:tc>
        <w:tc>
          <w:tcPr/>
          <w:p w:rsidR="00000000" w:rsidDel="00000000" w:rsidP="00000000" w:rsidRDefault="00000000" w:rsidRPr="00000000" w14:paraId="0000001E">
            <w:pPr>
              <w:rPr/>
            </w:pPr>
            <w:r w:rsidDel="00000000" w:rsidR="00000000" w:rsidRPr="00000000">
              <w:rPr>
                <w:rtl w:val="0"/>
              </w:rPr>
              <w:t xml:space="preserve">Gavin Woodm Robert Habermeierm Peter Czaban</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Veröffentlichung</w:t>
            </w:r>
          </w:p>
        </w:tc>
        <w:tc>
          <w:tcPr/>
          <w:p w:rsidR="00000000" w:rsidDel="00000000" w:rsidP="00000000" w:rsidRDefault="00000000" w:rsidRPr="00000000" w14:paraId="00000020">
            <w:pPr>
              <w:rPr/>
            </w:pPr>
            <w:r w:rsidDel="00000000" w:rsidR="00000000" w:rsidRPr="00000000">
              <w:rPr>
                <w:rtl w:val="0"/>
              </w:rPr>
              <w:t xml:space="preserve">2017</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Maximale Anzahl</w:t>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Im Umlauf (12.2021)</w:t>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ATH (10.11.21)</w:t>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ryptolist.de/binance-coin" TargetMode="External"/><Relationship Id="rId10" Type="http://schemas.openxmlformats.org/officeDocument/2006/relationships/hyperlink" Target="https://www.cryptolist.de/defi" TargetMode="External"/><Relationship Id="rId9" Type="http://schemas.openxmlformats.org/officeDocument/2006/relationships/hyperlink" Target="https://www.cryptolist.de/bitco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ryptolist.de/kryptowaehrungen" TargetMode="External"/><Relationship Id="rId8" Type="http://schemas.openxmlformats.org/officeDocument/2006/relationships/hyperlink" Target="https://www.cryptolist.de/ethere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F2extqyjfXVa6ZYQPMFJp7iw==">AMUW2mXsocJPe74ok7LZ0h8KzBjwJMqq8EM/FmBaEHJsk7iS3DsFdzHgQXQ4H23A0/Q9QmzcfcGL6X1zne8zsZTWDVK0B7y8Mu5bzIMWGFgwZLwqWkU+XvGbztglflZDc9CNi/ShMdJC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