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crypto wallets and what types are there?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store, receive and send your cryptocurrencies, you need a virtual wallet. This is called a “wallet” in crypto language.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different types of wallets. In this video we focus on the two main types: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Hot and cold wallets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Hot wallets (online, desktop or mobile wallets e.g.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Easy to 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Is currently the most common type of wallet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You only need your internet connection and you can start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are vulnerable to hacker attacks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Your private key is generated online (seedphrase)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Cold wallet (hardware or paper wallet)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You have your key on a stick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The seed phrase is then only created offline and you write it down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usually very secure - when connecting to the stick, we never accessed the stick's security memory, which is why it is safer from hacker attacks.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not beginner friendly. It takes a little practice to work with a cold wallet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You need the stick for every transaction.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Now we compare hot and cold wallets again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Hot-Wallet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Cold-Wallet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Online /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Online Wallet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Offline (physical wallet)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very vulnerable to hackers as it is directly connected to the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Greater security as your cryptocurrencies and NFTS are stored on an external stick and are therefore better protected against hackers and scams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Daily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simple and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08.571428571428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bit cumbersome because the stick always has to be with you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shd w:fill="f8f9fa" w:val="clear"/>
                <w:rtl w:val="0"/>
              </w:rPr>
              <w:t xml:space="preserve">For smaller amounts and daily needs / payment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shd w:fill="f8f9fa" w:val="clear"/>
                <w:rtl w:val="0"/>
              </w:rPr>
              <w:t xml:space="preserve">Large amounts of cryptocurrencies and valuable NFTs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