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7139" w14:textId="7A6CE752" w:rsidR="00BC1567" w:rsidRPr="007F159B" w:rsidRDefault="007F159B" w:rsidP="00BC1567">
      <w:pPr>
        <w:rPr>
          <w:b/>
          <w:bCs/>
        </w:rPr>
      </w:pPr>
      <w:r w:rsidRPr="007F159B">
        <w:rPr>
          <w:b/>
          <w:bCs/>
        </w:rPr>
        <w:t xml:space="preserve">Zentrale versus Dezentrale </w:t>
      </w:r>
      <w:proofErr w:type="spellStart"/>
      <w:r w:rsidRPr="007F159B">
        <w:rPr>
          <w:b/>
          <w:bCs/>
        </w:rPr>
        <w:t>Kryptobörsen</w:t>
      </w:r>
      <w:proofErr w:type="spellEnd"/>
    </w:p>
    <w:p w14:paraId="5A4D4CD4" w14:textId="62894D0F" w:rsidR="007F159B" w:rsidRDefault="007F159B" w:rsidP="00BC1567"/>
    <w:p w14:paraId="764666F3" w14:textId="3EF32E66" w:rsidR="007F159B" w:rsidRPr="007F159B" w:rsidRDefault="007F159B" w:rsidP="007F159B">
      <w:pPr>
        <w:spacing w:before="100" w:beforeAutospacing="1" w:after="100" w:afterAutospacing="1"/>
      </w:pPr>
      <w:r w:rsidRPr="007F159B">
        <w:t xml:space="preserve">Die Auswahl einer Börse ist eine der ersten Entscheidungen, die jeder </w:t>
      </w:r>
      <w:proofErr w:type="spellStart"/>
      <w:r w:rsidRPr="007F159B">
        <w:t>Kryptoanleger</w:t>
      </w:r>
      <w:proofErr w:type="spellEnd"/>
      <w:r w:rsidRPr="007F159B">
        <w:t xml:space="preserve"> treffen muss. </w:t>
      </w:r>
      <w:r>
        <w:t>Du kannst zentrale oder dezentrale Börsen nutzen.</w:t>
      </w:r>
      <w:r w:rsidRPr="007F159B">
        <w:t> </w:t>
      </w:r>
    </w:p>
    <w:p w14:paraId="3F075F06" w14:textId="683927CB" w:rsidR="007F159B" w:rsidRPr="007F159B" w:rsidRDefault="007F159B" w:rsidP="007F159B">
      <w:pPr>
        <w:spacing w:after="100" w:afterAutospacing="1"/>
        <w:outlineLvl w:val="1"/>
      </w:pPr>
      <w:r w:rsidRPr="007F159B">
        <w:rPr>
          <w:b/>
          <w:bCs/>
          <w:color w:val="434343"/>
        </w:rPr>
        <w:t>Was ist eine zentralisierte Börse?</w:t>
      </w:r>
    </w:p>
    <w:p w14:paraId="18D54724" w14:textId="7B4ED672" w:rsidR="007F159B" w:rsidRPr="007F159B" w:rsidRDefault="007F159B" w:rsidP="007F159B">
      <w:pPr>
        <w:spacing w:before="100" w:beforeAutospacing="1" w:after="100" w:afterAutospacing="1"/>
      </w:pPr>
      <w:r w:rsidRPr="007F159B">
        <w:t>Zentrale Börsen (CEX) sind vergleichbar mit traditionellen Banken, denen die Kunden ihr Geld anvertrauen. Eine zentralisierte Börse fungiert also als dritte Partei zwischen Käufer und Verkäufer. Sie überwacht den Handel und verwaltet die Vermögenswerte der Nutzer. </w:t>
      </w:r>
    </w:p>
    <w:p w14:paraId="129C9CCA" w14:textId="73B88C9B" w:rsidR="007F159B" w:rsidRPr="007F159B" w:rsidRDefault="007F159B" w:rsidP="007F159B">
      <w:pPr>
        <w:spacing w:before="100" w:beforeAutospacing="1" w:after="100" w:afterAutospacing="1"/>
      </w:pPr>
      <w:r w:rsidRPr="007F159B">
        <w:t>Die Kunden vertrauen also auf die Fähigkeit der Börsen, ihr Vermögen sicher zu verwahren und die Liquidität für effektive Transaktionen bereitzustellen</w:t>
      </w:r>
    </w:p>
    <w:p w14:paraId="7C154E12" w14:textId="3ABC0080" w:rsidR="007F159B" w:rsidRPr="007F159B" w:rsidRDefault="007F159B" w:rsidP="007F159B">
      <w:pPr>
        <w:spacing w:after="100" w:afterAutospacing="1"/>
        <w:outlineLvl w:val="1"/>
      </w:pPr>
      <w:r w:rsidRPr="007F159B">
        <w:rPr>
          <w:b/>
          <w:bCs/>
          <w:color w:val="434343"/>
        </w:rPr>
        <w:t>Was ist eine dezentrale Börse?</w:t>
      </w:r>
      <w:r w:rsidRPr="007F159B">
        <w:rPr>
          <w:color w:val="434343"/>
        </w:rPr>
        <w:t> </w:t>
      </w:r>
    </w:p>
    <w:p w14:paraId="58610C7D" w14:textId="77777777" w:rsidR="007F159B" w:rsidRPr="007F159B" w:rsidRDefault="007F159B" w:rsidP="007F159B">
      <w:pPr>
        <w:spacing w:before="100" w:beforeAutospacing="1" w:after="100" w:afterAutospacing="1"/>
      </w:pPr>
      <w:r w:rsidRPr="007F159B">
        <w:t xml:space="preserve">Bei einer dezentralen Börse (DEX) gibt es keine dritte Instanz. Stattdessen halten die Nutzer ihre Vermögenswerte und führen Peer-to-Peer-Transaktionen durch, agieren also direkt miteinander. Bei DEXs sorgen die Nutzer über einen Liquiditätspool-Mechanismus für ausreichend Liquidität untereinander. Im Grunde legen die Nutzer ihre Assets im Smart </w:t>
      </w:r>
      <w:proofErr w:type="spellStart"/>
      <w:r w:rsidRPr="007F159B">
        <w:t>Contract</w:t>
      </w:r>
      <w:proofErr w:type="spellEnd"/>
      <w:r w:rsidRPr="007F159B">
        <w:t xml:space="preserve"> einer dezentralen Börse zusammen, um Liquidität bereitzustellen, die den Austausch von Assets zwischen Händlern erleichtert. </w:t>
      </w:r>
    </w:p>
    <w:p w14:paraId="47E25C61" w14:textId="4470B288" w:rsidR="007F159B" w:rsidRPr="007F159B" w:rsidRDefault="007F159B" w:rsidP="007F159B">
      <w:pPr>
        <w:spacing w:before="100" w:beforeAutospacing="1" w:after="100" w:afterAutospacing="1"/>
      </w:pPr>
      <w:r w:rsidRPr="007F159B">
        <w:t>2022 sind dezentrale Börsen weniger verbreitet als zentrale Börsen</w:t>
      </w:r>
      <w:r>
        <w:t xml:space="preserve">, schreiten aber mit </w:t>
      </w:r>
      <w:proofErr w:type="spellStart"/>
      <w:r>
        <w:t>grossen</w:t>
      </w:r>
      <w:proofErr w:type="spellEnd"/>
      <w:r>
        <w:t xml:space="preserve"> Schritten voran. Sie verkörpern den eigentlichen Charakter von Web3</w:t>
      </w:r>
    </w:p>
    <w:p w14:paraId="22FE3E76" w14:textId="483326BC" w:rsidR="007F159B" w:rsidRPr="007F159B" w:rsidRDefault="007F159B" w:rsidP="007F159B">
      <w:pPr>
        <w:spacing w:before="100" w:beforeAutospacing="1" w:after="100" w:afterAutospacing="1"/>
        <w:outlineLvl w:val="2"/>
        <w:rPr>
          <w:sz w:val="27"/>
          <w:szCs w:val="27"/>
        </w:rPr>
      </w:pPr>
      <w:r>
        <w:rPr>
          <w:b/>
          <w:bCs/>
          <w:color w:val="000000"/>
          <w:sz w:val="27"/>
          <w:szCs w:val="27"/>
        </w:rPr>
        <w:t>Zentrale- versus Dezentrale Börse</w:t>
      </w:r>
      <w:r w:rsidRPr="007F159B">
        <w:rPr>
          <w:b/>
          <w:bCs/>
          <w:color w:val="000000"/>
          <w:sz w:val="27"/>
          <w:szCs w:val="27"/>
        </w:rPr>
        <w:t> </w:t>
      </w:r>
      <w:r w:rsidRPr="007F159B">
        <w:rPr>
          <w:b/>
          <w:bCs/>
          <w:color w:val="434343"/>
          <w:sz w:val="27"/>
          <w:szCs w:val="27"/>
        </w:rPr>
        <w:t>– die Unterschiede</w:t>
      </w:r>
      <w:r w:rsidRPr="007F159B">
        <w:rPr>
          <w:b/>
          <w:bCs/>
          <w:color w:val="000000"/>
          <w:sz w:val="27"/>
          <w:szCs w:val="27"/>
        </w:rPr>
        <w:t>:</w:t>
      </w:r>
    </w:p>
    <w:p w14:paraId="68E3E899" w14:textId="7326F8BF" w:rsidR="007F159B" w:rsidRPr="007F159B" w:rsidRDefault="007F159B" w:rsidP="007F159B">
      <w:pPr>
        <w:rPr>
          <w:b/>
          <w:bCs/>
        </w:rPr>
      </w:pPr>
      <w:r w:rsidRPr="007F159B">
        <w:rPr>
          <w:b/>
          <w:bCs/>
        </w:rPr>
        <w:tab/>
      </w:r>
    </w:p>
    <w:p w14:paraId="0A5F2933" w14:textId="19FD742E" w:rsidR="007F159B" w:rsidRPr="007F159B" w:rsidRDefault="007F159B" w:rsidP="007F159B">
      <w:pPr>
        <w:pStyle w:val="Listenabsatz"/>
        <w:numPr>
          <w:ilvl w:val="0"/>
          <w:numId w:val="2"/>
        </w:numPr>
        <w:rPr>
          <w:b/>
          <w:bCs/>
        </w:rPr>
      </w:pPr>
      <w:r w:rsidRPr="007F159B">
        <w:rPr>
          <w:b/>
          <w:bCs/>
        </w:rPr>
        <w:t xml:space="preserve">Benutzerfreundlichkeit </w:t>
      </w:r>
    </w:p>
    <w:p w14:paraId="7FBC476A" w14:textId="77777777" w:rsidR="007F159B" w:rsidRDefault="007F159B" w:rsidP="007F159B"/>
    <w:p w14:paraId="750CAF0E" w14:textId="11D35026" w:rsidR="007F159B" w:rsidRDefault="007F159B" w:rsidP="007F159B">
      <w:r>
        <w:t xml:space="preserve">Zentrale Börse: </w:t>
      </w:r>
      <w:r>
        <w:br/>
      </w:r>
      <w:r>
        <w:t>In der Regel benutzerfreundliche Plattformen, die einfach zu bedienen sind. Gute Option für Krypto-Neulinge.</w:t>
      </w:r>
      <w:r>
        <w:t xml:space="preserve"> </w:t>
      </w:r>
      <w:r>
        <w:br/>
        <w:t xml:space="preserve">Dezentrale Börse: </w:t>
      </w:r>
      <w:r>
        <w:t>Vor allem für neue Benutzer oft sehr komplex. Steile Lernkurve.</w:t>
      </w:r>
    </w:p>
    <w:p w14:paraId="5F813D03" w14:textId="77777777" w:rsidR="007F159B" w:rsidRDefault="007F159B" w:rsidP="007F159B"/>
    <w:p w14:paraId="02A4AE8A" w14:textId="1FA17364" w:rsidR="007F159B" w:rsidRPr="007F159B" w:rsidRDefault="007F159B" w:rsidP="007F159B">
      <w:pPr>
        <w:pStyle w:val="Listenabsatz"/>
        <w:numPr>
          <w:ilvl w:val="0"/>
          <w:numId w:val="2"/>
        </w:numPr>
        <w:rPr>
          <w:b/>
          <w:bCs/>
        </w:rPr>
      </w:pPr>
      <w:r w:rsidRPr="007F159B">
        <w:rPr>
          <w:b/>
          <w:bCs/>
        </w:rPr>
        <w:t xml:space="preserve">Regulierung </w:t>
      </w:r>
    </w:p>
    <w:p w14:paraId="02C8A0C1" w14:textId="77777777" w:rsidR="007F159B" w:rsidRDefault="007F159B" w:rsidP="007F159B"/>
    <w:p w14:paraId="65CBBD91" w14:textId="6D61DD80" w:rsidR="007F159B" w:rsidRDefault="007F159B" w:rsidP="007F159B">
      <w:r>
        <w:t xml:space="preserve">Zentrale Börse: </w:t>
      </w:r>
      <w:r>
        <w:t>Sind oft reguliert.</w:t>
      </w:r>
      <w:r>
        <w:tab/>
      </w:r>
      <w:r>
        <w:br/>
        <w:t xml:space="preserve">Dezentrale Börse: </w:t>
      </w:r>
      <w:r>
        <w:t xml:space="preserve">Umgehen Regulierungen, da sie auf Peer-to-Peer-Basis arbeiten. </w:t>
      </w:r>
      <w:r>
        <w:br/>
      </w:r>
    </w:p>
    <w:p w14:paraId="54345004" w14:textId="02FA2B05" w:rsidR="007F159B" w:rsidRPr="007F159B" w:rsidRDefault="007F159B" w:rsidP="007F159B">
      <w:pPr>
        <w:pStyle w:val="Listenabsatz"/>
        <w:numPr>
          <w:ilvl w:val="0"/>
          <w:numId w:val="2"/>
        </w:numPr>
        <w:rPr>
          <w:b/>
          <w:bCs/>
        </w:rPr>
      </w:pPr>
      <w:r w:rsidRPr="007F159B">
        <w:rPr>
          <w:b/>
          <w:bCs/>
        </w:rPr>
        <w:t>Liquidität</w:t>
      </w:r>
    </w:p>
    <w:p w14:paraId="75EE94AC" w14:textId="77777777" w:rsidR="007F159B" w:rsidRDefault="007F159B" w:rsidP="007F159B"/>
    <w:p w14:paraId="5CCA87EA" w14:textId="54BDA17C" w:rsidR="007F159B" w:rsidRDefault="007F159B" w:rsidP="007F159B">
      <w:r>
        <w:t xml:space="preserve">Zentrale Börse: </w:t>
      </w:r>
      <w:r>
        <w:t xml:space="preserve">Viele aktive Nutzer, die Assets kaufen und verkaufen und daher ein hohes Handelsvolumen aufweisen. Dies führt zu einer hohen Liquidität. </w:t>
      </w:r>
    </w:p>
    <w:p w14:paraId="60CCF88B" w14:textId="6CAAB84B" w:rsidR="007F159B" w:rsidRDefault="007F159B" w:rsidP="007F159B">
      <w:r>
        <w:t xml:space="preserve">Dezentrale Börse: </w:t>
      </w:r>
    </w:p>
    <w:p w14:paraId="3267D2D9" w14:textId="0D417D77" w:rsidR="007F159B" w:rsidRDefault="007F159B" w:rsidP="007F159B">
      <w:r>
        <w:t xml:space="preserve">Vergleichsweise wenige Nutzer, daher geringe Liquidität. Dies behindert nahtlose </w:t>
      </w:r>
      <w:r>
        <w:br/>
      </w:r>
      <w:r>
        <w:t xml:space="preserve">Transaktionen, was für Anleger nachteilig sein kann. </w:t>
      </w:r>
      <w:r>
        <w:br/>
      </w:r>
    </w:p>
    <w:p w14:paraId="4E0ED8F7" w14:textId="77777777" w:rsidR="007F159B" w:rsidRDefault="007F159B" w:rsidP="007F159B"/>
    <w:p w14:paraId="1ED5D824" w14:textId="10B1BA37" w:rsidR="007F159B" w:rsidRPr="007F159B" w:rsidRDefault="007F159B" w:rsidP="007F159B">
      <w:pPr>
        <w:pStyle w:val="Listenabsatz"/>
        <w:numPr>
          <w:ilvl w:val="0"/>
          <w:numId w:val="2"/>
        </w:numPr>
        <w:rPr>
          <w:b/>
          <w:bCs/>
        </w:rPr>
      </w:pPr>
      <w:proofErr w:type="spellStart"/>
      <w:r w:rsidRPr="007F159B">
        <w:rPr>
          <w:b/>
          <w:bCs/>
        </w:rPr>
        <w:lastRenderedPageBreak/>
        <w:t>Impermanent</w:t>
      </w:r>
      <w:proofErr w:type="spellEnd"/>
      <w:r w:rsidRPr="007F159B">
        <w:rPr>
          <w:b/>
          <w:bCs/>
        </w:rPr>
        <w:t xml:space="preserve"> Loss </w:t>
      </w:r>
      <w:r>
        <w:t>(</w:t>
      </w:r>
      <w:proofErr w:type="spellStart"/>
      <w:r>
        <w:t>Verübergehender</w:t>
      </w:r>
      <w:proofErr w:type="spellEnd"/>
      <w:r>
        <w:t xml:space="preserve"> Verlust)</w:t>
      </w:r>
    </w:p>
    <w:p w14:paraId="0CD19D25" w14:textId="77777777" w:rsidR="007F159B" w:rsidRDefault="007F159B" w:rsidP="007F159B"/>
    <w:p w14:paraId="60865388" w14:textId="007DE912" w:rsidR="007F159B" w:rsidRDefault="007F159B" w:rsidP="007F159B">
      <w:r>
        <w:t xml:space="preserve">Zentrale Börse: </w:t>
      </w:r>
      <w:r>
        <w:t>Kein Problem.</w:t>
      </w:r>
      <w:r>
        <w:tab/>
      </w:r>
      <w:r>
        <w:br/>
        <w:t xml:space="preserve">Dezentrale Börse: </w:t>
      </w:r>
      <w:r>
        <w:t>Großes Problem für die Liquiditätsanbieter aufgrund der Volatilität von Kryptowährungen.</w:t>
      </w:r>
      <w:r>
        <w:br/>
      </w:r>
    </w:p>
    <w:p w14:paraId="1C3F6000" w14:textId="59A338EE" w:rsidR="007F159B" w:rsidRDefault="007F159B" w:rsidP="007F159B">
      <w:pPr>
        <w:pStyle w:val="Listenabsatz"/>
        <w:numPr>
          <w:ilvl w:val="0"/>
          <w:numId w:val="2"/>
        </w:numPr>
      </w:pPr>
      <w:r>
        <w:t xml:space="preserve">Sicherheit und Datenschutz </w:t>
      </w:r>
    </w:p>
    <w:p w14:paraId="4652A070" w14:textId="77777777" w:rsidR="007F159B" w:rsidRDefault="007F159B" w:rsidP="007F159B"/>
    <w:p w14:paraId="139451A1" w14:textId="1E4317B0" w:rsidR="007F159B" w:rsidRPr="007F159B" w:rsidRDefault="007F159B" w:rsidP="007F159B">
      <w:r>
        <w:t xml:space="preserve">Zentrale Börse: </w:t>
      </w:r>
      <w:r>
        <w:t>Die Sicherheit des Vermögens hängt von der der Börse ab. Keine Anonymität aufgrund von KYC- und AML-Vorschriften.</w:t>
      </w:r>
      <w:r>
        <w:tab/>
      </w:r>
      <w:r>
        <w:br/>
        <w:t xml:space="preserve">Dezentrale Börse: </w:t>
      </w:r>
      <w:r>
        <w:t>Die Sicherheit hängt vom Inhaber der Vermögenswerte ab. Anonymität, da sie die KYC-</w:t>
      </w:r>
      <w:r>
        <w:t>Standards nicht einhalten</w:t>
      </w:r>
    </w:p>
    <w:p w14:paraId="485E35CE" w14:textId="6142F541" w:rsidR="007F159B" w:rsidRDefault="007F159B" w:rsidP="00BC1567"/>
    <w:p w14:paraId="60C79B26" w14:textId="77777777" w:rsidR="007F159B" w:rsidRPr="007F159B" w:rsidRDefault="007F159B" w:rsidP="00BC1567"/>
    <w:p w14:paraId="434986FA" w14:textId="77777777" w:rsidR="00BC1567" w:rsidRPr="007F159B" w:rsidRDefault="00BC1567" w:rsidP="00BC1567"/>
    <w:p w14:paraId="75F360A3" w14:textId="3BED85F8" w:rsidR="005F7197" w:rsidRPr="00BC1567" w:rsidRDefault="005F7197" w:rsidP="00BC1567">
      <w:pPr>
        <w:rPr>
          <w:lang w:val="en-US"/>
        </w:rPr>
      </w:pPr>
    </w:p>
    <w:sectPr w:rsidR="005F7197" w:rsidRPr="00BC1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76BD4"/>
    <w:multiLevelType w:val="hybridMultilevel"/>
    <w:tmpl w:val="8834B0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471879">
    <w:abstractNumId w:val="1"/>
  </w:num>
  <w:num w:numId="2" w16cid:durableId="59200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162601"/>
    <w:rsid w:val="001F47DE"/>
    <w:rsid w:val="002D546E"/>
    <w:rsid w:val="00353324"/>
    <w:rsid w:val="00384682"/>
    <w:rsid w:val="0044657C"/>
    <w:rsid w:val="00596F8B"/>
    <w:rsid w:val="005F7197"/>
    <w:rsid w:val="006A18E6"/>
    <w:rsid w:val="007F159B"/>
    <w:rsid w:val="00A1574E"/>
    <w:rsid w:val="00BC1567"/>
    <w:rsid w:val="00DB2B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59B"/>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6A18E6"/>
    <w:pPr>
      <w:spacing w:before="100" w:beforeAutospacing="1" w:after="100" w:afterAutospacing="1"/>
      <w:outlineLvl w:val="1"/>
    </w:pPr>
    <w:rPr>
      <w:b/>
      <w:bCs/>
      <w:sz w:val="36"/>
      <w:szCs w:val="36"/>
    </w:rPr>
  </w:style>
  <w:style w:type="paragraph" w:styleId="berschrift3">
    <w:name w:val="heading 3"/>
    <w:basedOn w:val="Standard"/>
    <w:next w:val="Standard"/>
    <w:link w:val="berschrift3Zchn"/>
    <w:uiPriority w:val="9"/>
    <w:unhideWhenUsed/>
    <w:qFormat/>
    <w:rsid w:val="007F159B"/>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style>
  <w:style w:type="character" w:customStyle="1" w:styleId="berschrift3Zchn">
    <w:name w:val="Überschrift 3 Zchn"/>
    <w:basedOn w:val="Absatz-Standardschriftart"/>
    <w:link w:val="berschrift3"/>
    <w:uiPriority w:val="9"/>
    <w:rsid w:val="007F159B"/>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7F159B"/>
    <w:rPr>
      <w:b/>
      <w:bCs/>
    </w:rPr>
  </w:style>
  <w:style w:type="paragraph" w:styleId="Listenabsatz">
    <w:name w:val="List Paragraph"/>
    <w:basedOn w:val="Standard"/>
    <w:uiPriority w:val="34"/>
    <w:qFormat/>
    <w:rsid w:val="007F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5909">
      <w:bodyDiv w:val="1"/>
      <w:marLeft w:val="0"/>
      <w:marRight w:val="0"/>
      <w:marTop w:val="0"/>
      <w:marBottom w:val="0"/>
      <w:divBdr>
        <w:top w:val="none" w:sz="0" w:space="0" w:color="auto"/>
        <w:left w:val="none" w:sz="0" w:space="0" w:color="auto"/>
        <w:bottom w:val="none" w:sz="0" w:space="0" w:color="auto"/>
        <w:right w:val="none" w:sz="0" w:space="0" w:color="auto"/>
      </w:divBdr>
    </w:div>
    <w:div w:id="136342826">
      <w:bodyDiv w:val="1"/>
      <w:marLeft w:val="0"/>
      <w:marRight w:val="0"/>
      <w:marTop w:val="0"/>
      <w:marBottom w:val="0"/>
      <w:divBdr>
        <w:top w:val="none" w:sz="0" w:space="0" w:color="auto"/>
        <w:left w:val="none" w:sz="0" w:space="0" w:color="auto"/>
        <w:bottom w:val="none" w:sz="0" w:space="0" w:color="auto"/>
        <w:right w:val="none" w:sz="0" w:space="0" w:color="auto"/>
      </w:divBdr>
    </w:div>
    <w:div w:id="207377257">
      <w:bodyDiv w:val="1"/>
      <w:marLeft w:val="0"/>
      <w:marRight w:val="0"/>
      <w:marTop w:val="0"/>
      <w:marBottom w:val="0"/>
      <w:divBdr>
        <w:top w:val="none" w:sz="0" w:space="0" w:color="auto"/>
        <w:left w:val="none" w:sz="0" w:space="0" w:color="auto"/>
        <w:bottom w:val="none" w:sz="0" w:space="0" w:color="auto"/>
        <w:right w:val="none" w:sz="0" w:space="0" w:color="auto"/>
      </w:divBdr>
    </w:div>
    <w:div w:id="353700337">
      <w:bodyDiv w:val="1"/>
      <w:marLeft w:val="0"/>
      <w:marRight w:val="0"/>
      <w:marTop w:val="0"/>
      <w:marBottom w:val="0"/>
      <w:divBdr>
        <w:top w:val="none" w:sz="0" w:space="0" w:color="auto"/>
        <w:left w:val="none" w:sz="0" w:space="0" w:color="auto"/>
        <w:bottom w:val="none" w:sz="0" w:space="0" w:color="auto"/>
        <w:right w:val="none" w:sz="0" w:space="0" w:color="auto"/>
      </w:divBdr>
    </w:div>
    <w:div w:id="531458398">
      <w:bodyDiv w:val="1"/>
      <w:marLeft w:val="0"/>
      <w:marRight w:val="0"/>
      <w:marTop w:val="0"/>
      <w:marBottom w:val="0"/>
      <w:divBdr>
        <w:top w:val="none" w:sz="0" w:space="0" w:color="auto"/>
        <w:left w:val="none" w:sz="0" w:space="0" w:color="auto"/>
        <w:bottom w:val="none" w:sz="0" w:space="0" w:color="auto"/>
        <w:right w:val="none" w:sz="0" w:space="0" w:color="auto"/>
      </w:divBdr>
    </w:div>
    <w:div w:id="761027532">
      <w:bodyDiv w:val="1"/>
      <w:marLeft w:val="0"/>
      <w:marRight w:val="0"/>
      <w:marTop w:val="0"/>
      <w:marBottom w:val="0"/>
      <w:divBdr>
        <w:top w:val="none" w:sz="0" w:space="0" w:color="auto"/>
        <w:left w:val="none" w:sz="0" w:space="0" w:color="auto"/>
        <w:bottom w:val="none" w:sz="0" w:space="0" w:color="auto"/>
        <w:right w:val="none" w:sz="0" w:space="0" w:color="auto"/>
      </w:divBdr>
      <w:divsChild>
        <w:div w:id="931399869">
          <w:marLeft w:val="0"/>
          <w:marRight w:val="0"/>
          <w:marTop w:val="0"/>
          <w:marBottom w:val="0"/>
          <w:divBdr>
            <w:top w:val="none" w:sz="0" w:space="0" w:color="auto"/>
            <w:left w:val="none" w:sz="0" w:space="0" w:color="auto"/>
            <w:bottom w:val="none" w:sz="0" w:space="0" w:color="auto"/>
            <w:right w:val="none" w:sz="0" w:space="0" w:color="auto"/>
          </w:divBdr>
        </w:div>
        <w:div w:id="1263681118">
          <w:marLeft w:val="0"/>
          <w:marRight w:val="0"/>
          <w:marTop w:val="0"/>
          <w:marBottom w:val="0"/>
          <w:divBdr>
            <w:top w:val="none" w:sz="0" w:space="0" w:color="auto"/>
            <w:left w:val="none" w:sz="0" w:space="0" w:color="auto"/>
            <w:bottom w:val="none" w:sz="0" w:space="0" w:color="auto"/>
            <w:right w:val="none" w:sz="0" w:space="0" w:color="auto"/>
          </w:divBdr>
        </w:div>
        <w:div w:id="1049570712">
          <w:marLeft w:val="0"/>
          <w:marRight w:val="0"/>
          <w:marTop w:val="0"/>
          <w:marBottom w:val="0"/>
          <w:divBdr>
            <w:top w:val="none" w:sz="0" w:space="0" w:color="auto"/>
            <w:left w:val="none" w:sz="0" w:space="0" w:color="auto"/>
            <w:bottom w:val="none" w:sz="0" w:space="0" w:color="auto"/>
            <w:right w:val="none" w:sz="0" w:space="0" w:color="auto"/>
          </w:divBdr>
        </w:div>
        <w:div w:id="888961103">
          <w:marLeft w:val="0"/>
          <w:marRight w:val="0"/>
          <w:marTop w:val="0"/>
          <w:marBottom w:val="0"/>
          <w:divBdr>
            <w:top w:val="none" w:sz="0" w:space="0" w:color="auto"/>
            <w:left w:val="none" w:sz="0" w:space="0" w:color="auto"/>
            <w:bottom w:val="none" w:sz="0" w:space="0" w:color="auto"/>
            <w:right w:val="none" w:sz="0" w:space="0" w:color="auto"/>
          </w:divBdr>
        </w:div>
        <w:div w:id="31421630">
          <w:marLeft w:val="0"/>
          <w:marRight w:val="0"/>
          <w:marTop w:val="0"/>
          <w:marBottom w:val="0"/>
          <w:divBdr>
            <w:top w:val="none" w:sz="0" w:space="0" w:color="auto"/>
            <w:left w:val="none" w:sz="0" w:space="0" w:color="auto"/>
            <w:bottom w:val="none" w:sz="0" w:space="0" w:color="auto"/>
            <w:right w:val="none" w:sz="0" w:space="0" w:color="auto"/>
          </w:divBdr>
        </w:div>
        <w:div w:id="1394811874">
          <w:marLeft w:val="0"/>
          <w:marRight w:val="0"/>
          <w:marTop w:val="0"/>
          <w:marBottom w:val="0"/>
          <w:divBdr>
            <w:top w:val="none" w:sz="0" w:space="0" w:color="auto"/>
            <w:left w:val="none" w:sz="0" w:space="0" w:color="auto"/>
            <w:bottom w:val="none" w:sz="0" w:space="0" w:color="auto"/>
            <w:right w:val="none" w:sz="0" w:space="0" w:color="auto"/>
          </w:divBdr>
        </w:div>
      </w:divsChild>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072696340">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527711399">
      <w:bodyDiv w:val="1"/>
      <w:marLeft w:val="0"/>
      <w:marRight w:val="0"/>
      <w:marTop w:val="0"/>
      <w:marBottom w:val="0"/>
      <w:divBdr>
        <w:top w:val="none" w:sz="0" w:space="0" w:color="auto"/>
        <w:left w:val="none" w:sz="0" w:space="0" w:color="auto"/>
        <w:bottom w:val="none" w:sz="0" w:space="0" w:color="auto"/>
        <w:right w:val="none" w:sz="0" w:space="0" w:color="auto"/>
      </w:divBdr>
    </w:div>
    <w:div w:id="1532915466">
      <w:bodyDiv w:val="1"/>
      <w:marLeft w:val="0"/>
      <w:marRight w:val="0"/>
      <w:marTop w:val="0"/>
      <w:marBottom w:val="0"/>
      <w:divBdr>
        <w:top w:val="none" w:sz="0" w:space="0" w:color="auto"/>
        <w:left w:val="none" w:sz="0" w:space="0" w:color="auto"/>
        <w:bottom w:val="none" w:sz="0" w:space="0" w:color="auto"/>
        <w:right w:val="none" w:sz="0" w:space="0" w:color="auto"/>
      </w:divBdr>
    </w:div>
    <w:div w:id="19325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2161</Characters>
  <Application>Microsoft Office Word</Application>
  <DocSecurity>0</DocSecurity>
  <Lines>58</Lines>
  <Paragraphs>22</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2022-11-11T17:44:00Z</dcterms:created>
  <dcterms:modified xsi:type="dcterms:W3CDTF">2022-11-11T17:53:00Z</dcterms:modified>
</cp:coreProperties>
</file>