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Die größten Kryptowährungen nach Marktkapitalisierung </w:t>
      </w:r>
    </w:p>
    <w:p w:rsidR="00000000" w:rsidDel="00000000" w:rsidP="00000000" w:rsidRDefault="00000000" w:rsidRPr="00000000" w14:paraId="0000000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Inzwischen gibt es mehr als 15.000 Kryptowährungen am Markt aber welches sind die größten Währungen nach Marktkapitalisierung?</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Nachstehend stellen wir Euch die 10 größten Währungen vor.</w:t>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Von allen Kryptowährungen macht immer noch Bitcoin den größten Anteil nach Marktkapitalisierung aus:</w:t>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Bitcoin (BTC)  798 Mrd EUR: Die älteste Kryptowährung macht auch 2022 noch mit Abstand den größten Anteil aus</w:t>
      </w:r>
    </w:p>
    <w:p w:rsidR="00000000" w:rsidDel="00000000" w:rsidP="00000000" w:rsidRDefault="00000000" w:rsidRPr="00000000" w14:paraId="0000000C">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Ether (ETH) 303 Mrd EUR:  Dezentrales Blockchain System, das die Kryptowährung Ether besitzt. ETH ist fünfmal so groß, wie die auf dem 3. Platz agierende Währung Tether</w:t>
      </w:r>
    </w:p>
    <w:p w:rsidR="00000000" w:rsidDel="00000000" w:rsidP="00000000" w:rsidRDefault="00000000" w:rsidRPr="00000000" w14:paraId="0000000D">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Tether (USDT) - 72 Mrd EUR: Stablecoin, der an den Kurs des USD gekoppelt ist und damit weniger volatil</w:t>
      </w:r>
    </w:p>
    <w:p w:rsidR="00000000" w:rsidDel="00000000" w:rsidP="00000000" w:rsidRDefault="00000000" w:rsidRPr="00000000" w14:paraId="0000000E">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Binance Coin (BNB) - 64 Mrd EUR: Binance Coin wurde geschaffen, um die eigene Kryptoplattform Binance zu unterstützen</w:t>
      </w:r>
    </w:p>
    <w:p w:rsidR="00000000" w:rsidDel="00000000" w:rsidP="00000000" w:rsidRDefault="00000000" w:rsidRPr="00000000" w14:paraId="0000000F">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USD Coin (USDC): 46 Mrd EUR: Stablecoin, der an den Kurs des USD gekoppelt ist und damit weniger volatil</w:t>
      </w:r>
    </w:p>
    <w:p w:rsidR="00000000" w:rsidDel="00000000" w:rsidP="00000000" w:rsidRDefault="00000000" w:rsidRPr="00000000" w14:paraId="00000010">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Solana (SOL): 37 Mrd EUR: 2017 gegründet, im Sommer 2021 Kursexplosion. Solana setzt auf einen neuen Timestamp Algorithmus, der den Namen Proof-of-History trägt. Er ermöglicht automatisierte Transaktionen aneinanderzureihen, die in Bruchteilen einer Sekunde stattfinden. </w:t>
      </w:r>
    </w:p>
    <w:p w:rsidR="00000000" w:rsidDel="00000000" w:rsidP="00000000" w:rsidRDefault="00000000" w:rsidRPr="00000000" w14:paraId="00000011">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Ripple (XRP): 36 Mrd EUR: Die Digitalwährung XRP wurde von den Gründern der Zahlungsplattform Ripple geschaffen und soll eine Alternative zu anderen Kryptowährungen darstellen. ETH und BTC gehen der Weg der Unabhängigkeit zu Banken, XRP arbeitet mit globalen Banken zusammen und nennt sich selbst “Bitcoin der Banken”.</w:t>
      </w:r>
    </w:p>
    <w:p w:rsidR="00000000" w:rsidDel="00000000" w:rsidP="00000000" w:rsidRDefault="00000000" w:rsidRPr="00000000" w14:paraId="00000012">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Cardano (ADA) 35 Mrd EUR: </w:t>
      </w:r>
      <w:r w:rsidDel="00000000" w:rsidR="00000000" w:rsidRPr="00000000">
        <w:rPr>
          <w:color w:val="4d5156"/>
          <w:sz w:val="28"/>
          <w:szCs w:val="28"/>
          <w:highlight w:val="white"/>
          <w:rtl w:val="0"/>
        </w:rPr>
        <w:t xml:space="preserve"> </w:t>
      </w:r>
      <w:r w:rsidDel="00000000" w:rsidR="00000000" w:rsidRPr="00000000">
        <w:rPr>
          <w:rFonts w:ascii="Calibri" w:cs="Calibri" w:eastAsia="Calibri" w:hAnsi="Calibri"/>
          <w:sz w:val="28"/>
          <w:szCs w:val="28"/>
          <w:rtl w:val="0"/>
        </w:rPr>
        <w:t xml:space="preserve">Ziel des Projekts war es, möglichst viele Fehler der bestehender Blockchains auszubessern. 2022 werden über das Cardano Netzwerk zunehmend große Transaktionen abgewickelt.</w:t>
      </w:r>
    </w:p>
    <w:p w:rsidR="00000000" w:rsidDel="00000000" w:rsidP="00000000" w:rsidRDefault="00000000" w:rsidRPr="00000000" w14:paraId="00000013">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Terra (LUNA) 33 Mrd EUR: Terra ist ein Blockchain-Protokoll für wertstabile Kryptowährungen, sogenannte Stablecoins. Das sind Kryptowährungen, die eins zu eins an einen Basiswert gebunden sind, z.B. an eine Währung wie den USD</w:t>
      </w:r>
    </w:p>
    <w:p w:rsidR="00000000" w:rsidDel="00000000" w:rsidP="00000000" w:rsidRDefault="00000000" w:rsidRPr="00000000" w14:paraId="00000014">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Avalanche (AVAX) 24 Mrd EUR: AVAX gilt als das schnellste Netzwerk für sogenannte Smart Contracts, also virtuelle Verträge, welche über die </w:t>
      </w:r>
      <w:hyperlink r:id="rId7">
        <w:r w:rsidDel="00000000" w:rsidR="00000000" w:rsidRPr="00000000">
          <w:rPr>
            <w:rFonts w:ascii="Calibri" w:cs="Calibri" w:eastAsia="Calibri" w:hAnsi="Calibri"/>
            <w:sz w:val="28"/>
            <w:szCs w:val="28"/>
            <w:rtl w:val="0"/>
          </w:rPr>
          <w:t xml:space="preserve">Blockchain</w:t>
        </w:r>
      </w:hyperlink>
      <w:r w:rsidDel="00000000" w:rsidR="00000000" w:rsidRPr="00000000">
        <w:rPr>
          <w:rFonts w:ascii="Calibri" w:cs="Calibri" w:eastAsia="Calibri" w:hAnsi="Calibri"/>
          <w:sz w:val="28"/>
          <w:szCs w:val="28"/>
          <w:rtl w:val="0"/>
        </w:rPr>
        <w:t xml:space="preserve"> ausgetauscht werden. Gestartet im Jahr 2020 will AVAX großen Mitstreitern wie ETH damit Konkurrenz machen.</w:t>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iwo.de/themen/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P+AU7qD9Weyw5TqQFRJ1lZRUSg==">AMUW2mW2+kmWm1jt91YZkDPpcayEDCGcvCnG4m8io6tvV8saBlXXQbnv6yY80c/uP8OZ1yr8a2X7siGhe3/udAcO1KxdZ791S4/0GBCWWvGeFGtpNG9B3yM=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2022-09-12T20:12:00Z</dcterms:created>
</cp:coreProperties>
</file>