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836"/>
        <w:gridCol w:w="7453"/>
      </w:tblGrid>
      <w:tr w:rsidR="00AF334B" w:rsidRPr="00AF334B" w14:paraId="5CB082A4" w14:textId="77777777" w:rsidTr="00AF334B">
        <w:trPr>
          <w:trHeight w:val="239"/>
          <w:tblHeader/>
        </w:trPr>
        <w:tc>
          <w:tcPr>
            <w:tcW w:w="0" w:type="auto"/>
            <w:shd w:val="clear" w:color="auto" w:fill="FFFFFF"/>
            <w:vAlign w:val="center"/>
            <w:hideMark/>
          </w:tcPr>
          <w:p w14:paraId="33D3A3EA" w14:textId="77777777" w:rsidR="00AF334B" w:rsidRPr="00AF334B" w:rsidRDefault="00AF334B" w:rsidP="00AF334B">
            <w:pPr>
              <w:spacing w:after="0" w:line="240" w:lineRule="auto"/>
              <w:rPr>
                <w:rFonts w:ascii="Arial" w:eastAsia="Times New Roman" w:hAnsi="Arial" w:cs="Arial"/>
                <w:b/>
                <w:bCs/>
                <w:color w:val="1F1F1F"/>
                <w:kern w:val="0"/>
                <w:sz w:val="21"/>
                <w:szCs w:val="21"/>
                <w14:ligatures w14:val="none"/>
              </w:rPr>
            </w:pPr>
            <w:r w:rsidRPr="00AF334B">
              <w:rPr>
                <w:rFonts w:ascii="unset" w:eastAsia="Times New Roman" w:hAnsi="unset" w:cs="Arial"/>
                <w:b/>
                <w:bCs/>
                <w:color w:val="1F1F1F"/>
                <w:kern w:val="0"/>
                <w:sz w:val="21"/>
                <w:szCs w:val="21"/>
                <w14:ligatures w14:val="none"/>
              </w:rPr>
              <w:t>Column name</w:t>
            </w:r>
          </w:p>
        </w:tc>
        <w:tc>
          <w:tcPr>
            <w:tcW w:w="0" w:type="auto"/>
            <w:shd w:val="clear" w:color="auto" w:fill="FFFFFF"/>
            <w:vAlign w:val="center"/>
            <w:hideMark/>
          </w:tcPr>
          <w:p w14:paraId="59441F86" w14:textId="77777777" w:rsidR="00AF334B" w:rsidRPr="00AF334B" w:rsidRDefault="00AF334B" w:rsidP="00AF334B">
            <w:pPr>
              <w:spacing w:after="0" w:line="240" w:lineRule="auto"/>
              <w:rPr>
                <w:rFonts w:ascii="Arial" w:eastAsia="Times New Roman" w:hAnsi="Arial" w:cs="Arial"/>
                <w:b/>
                <w:bCs/>
                <w:color w:val="1F1F1F"/>
                <w:kern w:val="0"/>
                <w:sz w:val="21"/>
                <w:szCs w:val="21"/>
                <w14:ligatures w14:val="none"/>
              </w:rPr>
            </w:pPr>
            <w:r w:rsidRPr="00AF334B">
              <w:rPr>
                <w:rFonts w:ascii="unset" w:eastAsia="Times New Roman" w:hAnsi="unset" w:cs="Arial"/>
                <w:b/>
                <w:bCs/>
                <w:color w:val="1F1F1F"/>
                <w:kern w:val="0"/>
                <w:sz w:val="21"/>
                <w:szCs w:val="21"/>
                <w14:ligatures w14:val="none"/>
              </w:rPr>
              <w:t>Type</w:t>
            </w:r>
          </w:p>
        </w:tc>
        <w:tc>
          <w:tcPr>
            <w:tcW w:w="0" w:type="auto"/>
            <w:shd w:val="clear" w:color="auto" w:fill="FFFFFF"/>
            <w:vAlign w:val="center"/>
            <w:hideMark/>
          </w:tcPr>
          <w:p w14:paraId="257A3784" w14:textId="77777777" w:rsidR="00AF334B" w:rsidRPr="00AF334B" w:rsidRDefault="00AF334B" w:rsidP="00AF334B">
            <w:pPr>
              <w:spacing w:after="0" w:line="240" w:lineRule="auto"/>
              <w:rPr>
                <w:rFonts w:ascii="Arial" w:eastAsia="Times New Roman" w:hAnsi="Arial" w:cs="Arial"/>
                <w:b/>
                <w:bCs/>
                <w:color w:val="1F1F1F"/>
                <w:kern w:val="0"/>
                <w:sz w:val="21"/>
                <w:szCs w:val="21"/>
                <w14:ligatures w14:val="none"/>
              </w:rPr>
            </w:pPr>
            <w:r w:rsidRPr="00AF334B">
              <w:rPr>
                <w:rFonts w:ascii="unset" w:eastAsia="Times New Roman" w:hAnsi="unset" w:cs="Arial"/>
                <w:b/>
                <w:bCs/>
                <w:color w:val="1F1F1F"/>
                <w:kern w:val="0"/>
                <w:sz w:val="21"/>
                <w:szCs w:val="21"/>
                <w14:ligatures w14:val="none"/>
              </w:rPr>
              <w:t>Description</w:t>
            </w:r>
          </w:p>
        </w:tc>
      </w:tr>
      <w:tr w:rsidR="00AF334B" w:rsidRPr="00AF334B" w14:paraId="593461A6" w14:textId="77777777" w:rsidTr="00AF334B">
        <w:trPr>
          <w:trHeight w:val="254"/>
        </w:trPr>
        <w:tc>
          <w:tcPr>
            <w:tcW w:w="0" w:type="auto"/>
            <w:shd w:val="clear" w:color="auto" w:fill="FFFFFF"/>
            <w:vAlign w:val="center"/>
            <w:hideMark/>
          </w:tcPr>
          <w:p w14:paraId="7A90B68D"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[None]</w:t>
            </w:r>
          </w:p>
        </w:tc>
        <w:tc>
          <w:tcPr>
            <w:tcW w:w="0" w:type="auto"/>
            <w:shd w:val="clear" w:color="auto" w:fill="FFFFFF"/>
            <w:vAlign w:val="center"/>
            <w:hideMark/>
          </w:tcPr>
          <w:p w14:paraId="1CB82B6C"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int</w:t>
            </w:r>
          </w:p>
        </w:tc>
        <w:tc>
          <w:tcPr>
            <w:tcW w:w="0" w:type="auto"/>
            <w:shd w:val="clear" w:color="auto" w:fill="FFFFFF"/>
            <w:vAlign w:val="center"/>
            <w:hideMark/>
          </w:tcPr>
          <w:p w14:paraId="60668CCC"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index</w:t>
            </w:r>
          </w:p>
        </w:tc>
      </w:tr>
      <w:tr w:rsidR="00AF334B" w:rsidRPr="00AF334B" w14:paraId="1E5660A7" w14:textId="77777777" w:rsidTr="00AF334B">
        <w:trPr>
          <w:trHeight w:val="239"/>
        </w:trPr>
        <w:tc>
          <w:tcPr>
            <w:tcW w:w="0" w:type="auto"/>
            <w:shd w:val="clear" w:color="auto" w:fill="FFFFFF"/>
            <w:vAlign w:val="center"/>
            <w:hideMark/>
          </w:tcPr>
          <w:p w14:paraId="4992FA97"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date_local</w:t>
            </w:r>
            <w:proofErr w:type="spellEnd"/>
          </w:p>
        </w:tc>
        <w:tc>
          <w:tcPr>
            <w:tcW w:w="0" w:type="auto"/>
            <w:shd w:val="clear" w:color="auto" w:fill="FFFFFF"/>
            <w:vAlign w:val="center"/>
            <w:hideMark/>
          </w:tcPr>
          <w:p w14:paraId="26A4522B"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datetime</w:t>
            </w:r>
          </w:p>
        </w:tc>
        <w:tc>
          <w:tcPr>
            <w:tcW w:w="0" w:type="auto"/>
            <w:shd w:val="clear" w:color="auto" w:fill="FFFFFF"/>
            <w:vAlign w:val="center"/>
            <w:hideMark/>
          </w:tcPr>
          <w:p w14:paraId="08F0F0E6"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Date of AQI reading</w:t>
            </w:r>
          </w:p>
        </w:tc>
      </w:tr>
      <w:tr w:rsidR="00AF334B" w:rsidRPr="00AF334B" w14:paraId="3993F0E8" w14:textId="77777777" w:rsidTr="00AF334B">
        <w:trPr>
          <w:trHeight w:val="239"/>
        </w:trPr>
        <w:tc>
          <w:tcPr>
            <w:tcW w:w="0" w:type="auto"/>
            <w:shd w:val="clear" w:color="auto" w:fill="FFFFFF"/>
            <w:vAlign w:val="center"/>
            <w:hideMark/>
          </w:tcPr>
          <w:p w14:paraId="72C6A9E0"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state_name</w:t>
            </w:r>
            <w:proofErr w:type="spellEnd"/>
          </w:p>
        </w:tc>
        <w:tc>
          <w:tcPr>
            <w:tcW w:w="0" w:type="auto"/>
            <w:shd w:val="clear" w:color="auto" w:fill="FFFFFF"/>
            <w:vAlign w:val="center"/>
            <w:hideMark/>
          </w:tcPr>
          <w:p w14:paraId="4A6FF3F4"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43EEC1F7"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The name of the state</w:t>
            </w:r>
          </w:p>
        </w:tc>
      </w:tr>
      <w:tr w:rsidR="00AF334B" w:rsidRPr="00AF334B" w14:paraId="2028174C" w14:textId="77777777" w:rsidTr="00AF334B">
        <w:trPr>
          <w:trHeight w:val="239"/>
        </w:trPr>
        <w:tc>
          <w:tcPr>
            <w:tcW w:w="0" w:type="auto"/>
            <w:shd w:val="clear" w:color="auto" w:fill="FFFFFF"/>
            <w:vAlign w:val="center"/>
            <w:hideMark/>
          </w:tcPr>
          <w:p w14:paraId="7B8DB564"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county_name</w:t>
            </w:r>
            <w:proofErr w:type="spellEnd"/>
          </w:p>
        </w:tc>
        <w:tc>
          <w:tcPr>
            <w:tcW w:w="0" w:type="auto"/>
            <w:shd w:val="clear" w:color="auto" w:fill="FFFFFF"/>
            <w:vAlign w:val="center"/>
            <w:hideMark/>
          </w:tcPr>
          <w:p w14:paraId="0674B79D"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46B4C64B"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 xml:space="preserve">The name of the </w:t>
            </w:r>
            <w:proofErr w:type="gramStart"/>
            <w:r w:rsidRPr="00AF334B">
              <w:rPr>
                <w:rFonts w:ascii="Arial" w:eastAsia="Times New Roman" w:hAnsi="Arial" w:cs="Arial"/>
                <w:color w:val="1F1F1F"/>
                <w:kern w:val="0"/>
                <w:sz w:val="21"/>
                <w:szCs w:val="21"/>
                <w14:ligatures w14:val="none"/>
              </w:rPr>
              <w:t>U.S. county</w:t>
            </w:r>
            <w:proofErr w:type="gramEnd"/>
          </w:p>
        </w:tc>
      </w:tr>
      <w:tr w:rsidR="00AF334B" w:rsidRPr="00AF334B" w14:paraId="0378BE54" w14:textId="77777777" w:rsidTr="00AF334B">
        <w:trPr>
          <w:trHeight w:val="239"/>
        </w:trPr>
        <w:tc>
          <w:tcPr>
            <w:tcW w:w="0" w:type="auto"/>
            <w:shd w:val="clear" w:color="auto" w:fill="FFFFFF"/>
            <w:vAlign w:val="center"/>
            <w:hideMark/>
          </w:tcPr>
          <w:p w14:paraId="3D126F3D"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city_name</w:t>
            </w:r>
            <w:proofErr w:type="spellEnd"/>
          </w:p>
        </w:tc>
        <w:tc>
          <w:tcPr>
            <w:tcW w:w="0" w:type="auto"/>
            <w:shd w:val="clear" w:color="auto" w:fill="FFFFFF"/>
            <w:vAlign w:val="center"/>
            <w:hideMark/>
          </w:tcPr>
          <w:p w14:paraId="07424C95"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1580A64E"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U.S. City where monitoring occurred</w:t>
            </w:r>
          </w:p>
        </w:tc>
      </w:tr>
      <w:tr w:rsidR="00AF334B" w:rsidRPr="00AF334B" w14:paraId="7A54A821" w14:textId="77777777" w:rsidTr="00AF334B">
        <w:trPr>
          <w:trHeight w:val="239"/>
        </w:trPr>
        <w:tc>
          <w:tcPr>
            <w:tcW w:w="0" w:type="auto"/>
            <w:shd w:val="clear" w:color="auto" w:fill="FFFFFF"/>
            <w:vAlign w:val="center"/>
            <w:hideMark/>
          </w:tcPr>
          <w:p w14:paraId="4A2A54A3"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local_site</w:t>
            </w:r>
            <w:proofErr w:type="spellEnd"/>
            <w:r w:rsidRPr="00AF334B">
              <w:rPr>
                <w:rFonts w:ascii="Arial" w:eastAsia="Times New Roman" w:hAnsi="Arial" w:cs="Arial"/>
                <w:color w:val="1F1F1F"/>
                <w:kern w:val="0"/>
                <w:sz w:val="21"/>
                <w:szCs w:val="21"/>
                <w14:ligatures w14:val="none"/>
              </w:rPr>
              <w:t xml:space="preserve"> name</w:t>
            </w:r>
          </w:p>
        </w:tc>
        <w:tc>
          <w:tcPr>
            <w:tcW w:w="0" w:type="auto"/>
            <w:shd w:val="clear" w:color="auto" w:fill="FFFFFF"/>
            <w:vAlign w:val="center"/>
            <w:hideMark/>
          </w:tcPr>
          <w:p w14:paraId="54FDCCED"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27AB8687"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The identifier of the site in the owning agency's (e.g., not US EPA) nomenclature</w:t>
            </w:r>
          </w:p>
        </w:tc>
      </w:tr>
      <w:tr w:rsidR="00AF334B" w:rsidRPr="00AF334B" w14:paraId="472A6A5D" w14:textId="77777777" w:rsidTr="00AF334B">
        <w:trPr>
          <w:trHeight w:val="478"/>
        </w:trPr>
        <w:tc>
          <w:tcPr>
            <w:tcW w:w="0" w:type="auto"/>
            <w:shd w:val="clear" w:color="auto" w:fill="FFFFFF"/>
            <w:vAlign w:val="center"/>
            <w:hideMark/>
          </w:tcPr>
          <w:p w14:paraId="1CC2F7F2"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parameter_name</w:t>
            </w:r>
            <w:proofErr w:type="spellEnd"/>
          </w:p>
        </w:tc>
        <w:tc>
          <w:tcPr>
            <w:tcW w:w="0" w:type="auto"/>
            <w:shd w:val="clear" w:color="auto" w:fill="FFFFFF"/>
            <w:vAlign w:val="center"/>
            <w:hideMark/>
          </w:tcPr>
          <w:p w14:paraId="7EAEBF6C"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10F2A180"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The description assigned in the air quality system to the parameter measured by the monitor. Parameters may be pollutants or non-pollutants (e.g., wind speed).</w:t>
            </w:r>
          </w:p>
        </w:tc>
      </w:tr>
      <w:tr w:rsidR="00AF334B" w:rsidRPr="00AF334B" w14:paraId="01E24EE4" w14:textId="77777777" w:rsidTr="00AF334B">
        <w:trPr>
          <w:trHeight w:val="239"/>
        </w:trPr>
        <w:tc>
          <w:tcPr>
            <w:tcW w:w="0" w:type="auto"/>
            <w:shd w:val="clear" w:color="auto" w:fill="FFFFFF"/>
            <w:vAlign w:val="center"/>
            <w:hideMark/>
          </w:tcPr>
          <w:p w14:paraId="413F5AD6"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units_of_measure</w:t>
            </w:r>
            <w:proofErr w:type="spellEnd"/>
          </w:p>
        </w:tc>
        <w:tc>
          <w:tcPr>
            <w:tcW w:w="0" w:type="auto"/>
            <w:shd w:val="clear" w:color="auto" w:fill="FFFFFF"/>
            <w:vAlign w:val="center"/>
            <w:hideMark/>
          </w:tcPr>
          <w:p w14:paraId="368C908B"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str</w:t>
            </w:r>
          </w:p>
        </w:tc>
        <w:tc>
          <w:tcPr>
            <w:tcW w:w="0" w:type="auto"/>
            <w:shd w:val="clear" w:color="auto" w:fill="FFFFFF"/>
            <w:vAlign w:val="center"/>
            <w:hideMark/>
          </w:tcPr>
          <w:p w14:paraId="4992054E"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The unit of measure for all data in that row. Every parameter has a standard unit of measure. </w:t>
            </w:r>
          </w:p>
        </w:tc>
      </w:tr>
      <w:tr w:rsidR="00AF334B" w:rsidRPr="00AF334B" w14:paraId="35585938" w14:textId="77777777" w:rsidTr="00AF334B">
        <w:trPr>
          <w:trHeight w:val="732"/>
        </w:trPr>
        <w:tc>
          <w:tcPr>
            <w:tcW w:w="0" w:type="auto"/>
            <w:shd w:val="clear" w:color="auto" w:fill="FFFFFF"/>
            <w:vAlign w:val="center"/>
            <w:hideMark/>
          </w:tcPr>
          <w:p w14:paraId="61F9343A"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aritmetic_mean</w:t>
            </w:r>
            <w:proofErr w:type="spellEnd"/>
          </w:p>
        </w:tc>
        <w:tc>
          <w:tcPr>
            <w:tcW w:w="0" w:type="auto"/>
            <w:shd w:val="clear" w:color="auto" w:fill="FFFFFF"/>
            <w:vAlign w:val="center"/>
            <w:hideMark/>
          </w:tcPr>
          <w:p w14:paraId="30558624"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int</w:t>
            </w:r>
          </w:p>
        </w:tc>
        <w:tc>
          <w:tcPr>
            <w:tcW w:w="0" w:type="auto"/>
            <w:shd w:val="clear" w:color="auto" w:fill="FFFFFF"/>
            <w:vAlign w:val="center"/>
            <w:hideMark/>
          </w:tcPr>
          <w:p w14:paraId="5C07E13A"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The measure of central tendency obtained from the sum of the observed pollutant data values in the quarterly data set divided by the number of values that comprise the sum for the quarterly data set. For criteria pollutants, the sum of values only adds the values with the appropriate flagging and concurrence for the exceptional data type.</w:t>
            </w:r>
          </w:p>
        </w:tc>
      </w:tr>
      <w:tr w:rsidR="00AF334B" w:rsidRPr="00AF334B" w14:paraId="77181928" w14:textId="77777777" w:rsidTr="00AF334B">
        <w:trPr>
          <w:trHeight w:val="478"/>
        </w:trPr>
        <w:tc>
          <w:tcPr>
            <w:tcW w:w="0" w:type="auto"/>
            <w:shd w:val="clear" w:color="auto" w:fill="FFFFFF"/>
            <w:vAlign w:val="center"/>
            <w:hideMark/>
          </w:tcPr>
          <w:p w14:paraId="19638972"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proofErr w:type="spellStart"/>
            <w:r w:rsidRPr="00AF334B">
              <w:rPr>
                <w:rFonts w:ascii="Arial" w:eastAsia="Times New Roman" w:hAnsi="Arial" w:cs="Arial"/>
                <w:color w:val="1F1F1F"/>
                <w:kern w:val="0"/>
                <w:sz w:val="21"/>
                <w:szCs w:val="21"/>
                <w14:ligatures w14:val="none"/>
              </w:rPr>
              <w:t>aqi</w:t>
            </w:r>
            <w:proofErr w:type="spellEnd"/>
          </w:p>
        </w:tc>
        <w:tc>
          <w:tcPr>
            <w:tcW w:w="0" w:type="auto"/>
            <w:shd w:val="clear" w:color="auto" w:fill="FFFFFF"/>
            <w:vAlign w:val="center"/>
            <w:hideMark/>
          </w:tcPr>
          <w:p w14:paraId="1A9C9490"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int</w:t>
            </w:r>
          </w:p>
        </w:tc>
        <w:tc>
          <w:tcPr>
            <w:tcW w:w="0" w:type="auto"/>
            <w:shd w:val="clear" w:color="auto" w:fill="FFFFFF"/>
            <w:vAlign w:val="center"/>
            <w:hideMark/>
          </w:tcPr>
          <w:p w14:paraId="03FC09FE" w14:textId="77777777" w:rsidR="00AF334B" w:rsidRPr="00AF334B" w:rsidRDefault="00AF334B" w:rsidP="00AF334B">
            <w:pPr>
              <w:spacing w:after="0" w:line="240" w:lineRule="auto"/>
              <w:rPr>
                <w:rFonts w:ascii="Arial" w:eastAsia="Times New Roman" w:hAnsi="Arial" w:cs="Arial"/>
                <w:color w:val="1F1F1F"/>
                <w:kern w:val="0"/>
                <w:sz w:val="21"/>
                <w:szCs w:val="21"/>
                <w14:ligatures w14:val="none"/>
              </w:rPr>
            </w:pPr>
            <w:r w:rsidRPr="00AF334B">
              <w:rPr>
                <w:rFonts w:ascii="Arial" w:eastAsia="Times New Roman" w:hAnsi="Arial" w:cs="Arial"/>
                <w:color w:val="1F1F1F"/>
                <w:kern w:val="0"/>
                <w:sz w:val="21"/>
                <w:szCs w:val="21"/>
                <w14:ligatures w14:val="none"/>
              </w:rPr>
              <w:t>“Air Quality Index” – AQI is like a thermometer that runs from 0 to 500. The higher the AQI value, the greater the level of air pollution and the greater the health concern.</w:t>
            </w:r>
          </w:p>
        </w:tc>
      </w:tr>
    </w:tbl>
    <w:p w14:paraId="7C8DE177" w14:textId="77777777" w:rsidR="000E70F5" w:rsidRDefault="000E70F5"/>
    <w:sectPr w:rsidR="000E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F5"/>
    <w:rsid w:val="000E70F5"/>
    <w:rsid w:val="00AF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1991-DB7B-42A1-B916-621A2A61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3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6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Dasuni Mahawaththa</dc:creator>
  <cp:keywords/>
  <dc:description/>
  <cp:lastModifiedBy>Dasuni Mahawaththa</cp:lastModifiedBy>
  <cp:revision>2</cp:revision>
  <dcterms:created xsi:type="dcterms:W3CDTF">2024-02-08T16:39:00Z</dcterms:created>
  <dcterms:modified xsi:type="dcterms:W3CDTF">2024-02-08T16:40:00Z</dcterms:modified>
</cp:coreProperties>
</file>