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Traffic Sign Detection Using Deep Learning</w:t>
        <w:br/>
        <w:t>and Classical Computer Vision</w:t>
      </w:r>
    </w:p>
    <w:p>
      <w:pPr>
        <w:jc w:val="center"/>
      </w:pPr>
      <w:r>
        <w:rPr>
          <w:rFonts w:ascii="Times New Roman" w:hAnsi="Times New Roman"/>
          <w:b w:val="0"/>
          <w:sz w:val="22"/>
        </w:rPr>
        <w:t>R.M.S.S. Kumara, K.I. Sewmini, S.I. Gunawardhana, A.W.H. Panchani</w:t>
        <w:br/>
        <w:t>Department of Computer Engineering, University of Peradeniya</w:t>
        <w:br/>
        <w:t>CO543/CO5430 — Computer Vision | Group 17</w:t>
        <w:br/>
        <w:t>GitHub: https://github.com/SajithK203/Traffic-Sign-Detection</w:t>
      </w:r>
    </w:p>
    <w:p/>
    <w:p>
      <w:pPr>
        <w:spacing w:before="240" w:after="80"/>
        <w:jc w:val="left"/>
      </w:pPr>
      <w:r>
        <w:rPr>
          <w:rFonts w:ascii="Times New Roman" w:hAnsi="Times New Roman"/>
          <w:b/>
          <w:sz w:val="28"/>
        </w:rPr>
        <w:t>Abstract</w:t>
      </w:r>
    </w:p>
    <w:p>
      <w:pPr>
        <w:spacing w:after="80"/>
        <w:ind w:left="0"/>
        <w:jc w:val="both"/>
      </w:pPr>
      <w:r>
        <w:rPr>
          <w:rFonts w:ascii="Times New Roman" w:hAnsi="Times New Roman"/>
          <w:b w:val="0"/>
          <w:sz w:val="22"/>
        </w:rPr>
        <w:t>Traffic sign detection is a fundamental perception task for autonomous driving and Advanced Driver-Assistance Systems (ADAS). This paper presents a complete traffic sign detection pipeline evaluated on the German Traffic Sign Detection Benchmark (GTSDB), comparing a classical computer vision baseline against deep learning approaches based on YOLOv8. We implement an HSV-based classical detector, a zero-shot pretrained YOLOv8n baseline, and fine-tuned YOLOv8n/s models with and without data augmentation. Our best model — a fine-tuned YOLOv8s with augmentation — achieves 97.1% mAP@0.5, representing a ~24× improvement over the classical baseline (4.0% precision). We further demonstrate feasibility of fine-grained 43-class detection as a stretch goal. An interactive Streamlit demo application supports real-time image and video inference.</w:t>
      </w:r>
    </w:p>
    <w:p>
      <w:pPr>
        <w:spacing w:before="240" w:after="80"/>
        <w:jc w:val="left"/>
      </w:pPr>
      <w:r>
        <w:rPr>
          <w:rFonts w:ascii="Times New Roman" w:hAnsi="Times New Roman"/>
          <w:b/>
          <w:sz w:val="28"/>
        </w:rPr>
        <w:t>1. Introduction and Motivation</w:t>
      </w:r>
    </w:p>
    <w:p>
      <w:pPr>
        <w:spacing w:after="80"/>
        <w:ind w:left="0"/>
        <w:jc w:val="both"/>
      </w:pPr>
      <w:r>
        <w:rPr>
          <w:rFonts w:ascii="Times New Roman" w:hAnsi="Times New Roman"/>
          <w:b w:val="0"/>
          <w:sz w:val="22"/>
        </w:rPr>
        <w:t>Traffic sign recognition is a safety-critical component of modern intelligent transportation systems. Accurate detection of signs such as speed limits, stop signs, and mandatory turn indicators enables autonomous vehicles to navigate safely and helps ADAS systems alert human drivers. The German Traffic Sign Detection Benchmark (GTSDB) [1] provides a challenging real-world dataset with full driving-scene images, variable lighting, partial occlusion, and signs of varying scales.</w:t>
      </w:r>
    </w:p>
    <w:p>
      <w:pPr>
        <w:spacing w:after="80"/>
        <w:ind w:left="0"/>
        <w:jc w:val="both"/>
      </w:pPr>
      <w:r>
        <w:rPr>
          <w:rFonts w:ascii="Times New Roman" w:hAnsi="Times New Roman"/>
          <w:b w:val="0"/>
          <w:sz w:val="22"/>
        </w:rPr>
        <w:t>This project addresses two research questions:</w:t>
      </w:r>
    </w:p>
    <w:p>
      <w:pPr>
        <w:pStyle w:val="ListBullet"/>
        <w:spacing w:after="40"/>
        <w:ind w:left="360"/>
      </w:pPr>
      <w:r>
        <w:rPr>
          <w:rFonts w:ascii="Times New Roman" w:hAnsi="Times New Roman"/>
          <w:b w:val="0"/>
          <w:sz w:val="22"/>
        </w:rPr>
        <w:t>How effectively can a classical CV pipeline detect traffic signs compared to a fine-tuned deep neural network?</w:t>
      </w:r>
    </w:p>
    <w:p>
      <w:pPr>
        <w:pStyle w:val="ListBullet"/>
        <w:spacing w:after="40"/>
        <w:ind w:left="360"/>
      </w:pPr>
      <w:r>
        <w:rPr>
          <w:rFonts w:ascii="Times New Roman" w:hAnsi="Times New Roman"/>
          <w:b w:val="0"/>
          <w:sz w:val="22"/>
        </w:rPr>
        <w:t>What is the impact of data augmentation on detection performance when training data is limited?</w:t>
      </w:r>
    </w:p>
    <w:p>
      <w:pPr>
        <w:spacing w:after="80"/>
        <w:ind w:left="0"/>
        <w:jc w:val="both"/>
      </w:pPr>
      <w:r>
        <w:rPr>
          <w:rFonts w:ascii="Times New Roman" w:hAnsi="Times New Roman"/>
          <w:b w:val="0"/>
          <w:sz w:val="22"/>
        </w:rPr>
        <w:t>Our contributions include a 5-model comparative evaluation, a data augmentation ablation study, a fine-grained 43-class stretch goal, and an interactive demo supporting image and video inference.</w:t>
      </w:r>
    </w:p>
    <w:p>
      <w:pPr>
        <w:spacing w:before="240" w:after="80"/>
        <w:jc w:val="left"/>
      </w:pPr>
      <w:r>
        <w:rPr>
          <w:rFonts w:ascii="Times New Roman" w:hAnsi="Times New Roman"/>
          <w:b/>
          <w:sz w:val="28"/>
        </w:rPr>
        <w:t>2. Related Work</w:t>
      </w:r>
    </w:p>
    <w:p>
      <w:pPr>
        <w:spacing w:after="80"/>
        <w:ind w:left="0"/>
        <w:jc w:val="both"/>
      </w:pPr>
      <w:r>
        <w:rPr>
          <w:rFonts w:ascii="Times New Roman" w:hAnsi="Times New Roman"/>
          <w:b w:val="0"/>
          <w:sz w:val="22"/>
        </w:rPr>
        <w:t>Object detection has been transformed by deep learning. Faster R-CNN [2] established anchor-based two-stage detection; SSD [3] and the YOLO family [4] enable real-time single-stage inference. YOLOv8 (Ultralytics, 2023) [5] represents the current state of the art. Traffic sign datasets include GTSDB [1] (900 full-scene images), GTSRB [6] (51,839 cropped patches), and TT100K [7] (100K images). Transfer learning [9] from COCO-pretrained weights enables effective fine-tuning with limited data.</w:t>
      </w:r>
    </w:p>
    <w:p>
      <w:pPr>
        <w:spacing w:before="240" w:after="80"/>
        <w:jc w:val="left"/>
      </w:pPr>
      <w:r>
        <w:rPr>
          <w:rFonts w:ascii="Times New Roman" w:hAnsi="Times New Roman"/>
          <w:b/>
          <w:sz w:val="28"/>
        </w:rPr>
        <w:t>3. Dataset and Preprocessing</w:t>
      </w:r>
    </w:p>
    <w:p>
      <w:pPr>
        <w:spacing w:before="240" w:after="80"/>
        <w:jc w:val="left"/>
      </w:pPr>
      <w:r>
        <w:rPr>
          <w:rFonts w:ascii="Times New Roman" w:hAnsi="Times New Roman"/>
          <w:b/>
          <w:sz w:val="24"/>
        </w:rPr>
        <w:t>3.1 Dataset</w:t>
      </w:r>
    </w:p>
    <w:p>
      <w:pPr>
        <w:spacing w:after="80"/>
        <w:ind w:left="0"/>
        <w:jc w:val="both"/>
      </w:pPr>
      <w:r>
        <w:rPr>
          <w:rFonts w:ascii="Times New Roman" w:hAnsi="Times New Roman"/>
          <w:b w:val="0"/>
          <w:sz w:val="22"/>
        </w:rPr>
        <w:t>We use GTSDB [1]: 900 full driving-scene images (1360×800 px, .ppm format), 43 fine-grained classes grouped into 3 super-classes: prohibitory (0–8), danger (11–31), mandatory (33–41). Annotations are in gt.txt (image, bounding box, class ID).</w:t>
      </w:r>
    </w:p>
    <w:p>
      <w:pPr>
        <w:spacing w:before="240" w:after="80"/>
        <w:jc w:val="left"/>
      </w:pPr>
      <w:r>
        <w:rPr>
          <w:rFonts w:ascii="Times New Roman" w:hAnsi="Times New Roman"/>
          <w:b/>
          <w:sz w:val="24"/>
        </w:rPr>
        <w:t>3.2 Preprocessing Pipeline</w:t>
      </w:r>
    </w:p>
    <w:p>
      <w:pPr>
        <w:pStyle w:val="ListBullet"/>
        <w:spacing w:after="40"/>
        <w:ind w:left="360"/>
      </w:pPr>
      <w:r>
        <w:rPr>
          <w:rFonts w:ascii="Times New Roman" w:hAnsi="Times New Roman"/>
          <w:b w:val="0"/>
          <w:sz w:val="22"/>
        </w:rPr>
        <w:t>Convert .ppm to .jpg; bounding boxes to YOLO normalised format [class_id, x_c, y_c, w, h]</w:t>
      </w:r>
    </w:p>
    <w:p>
      <w:pPr>
        <w:pStyle w:val="ListBullet"/>
        <w:spacing w:after="40"/>
        <w:ind w:left="360"/>
      </w:pPr>
      <w:r>
        <w:rPr>
          <w:rFonts w:ascii="Times New Roman" w:hAnsi="Times New Roman"/>
          <w:b w:val="0"/>
          <w:sz w:val="22"/>
        </w:rPr>
        <w:t>Map 43 classes to 3 super-classes for primary experiments</w:t>
      </w:r>
    </w:p>
    <w:p>
      <w:pPr>
        <w:pStyle w:val="ListBullet"/>
        <w:spacing w:after="40"/>
        <w:ind w:left="360"/>
      </w:pPr>
      <w:r>
        <w:rPr>
          <w:rFonts w:ascii="Times New Roman" w:hAnsi="Times New Roman"/>
          <w:b w:val="0"/>
          <w:sz w:val="22"/>
        </w:rPr>
        <w:t>Stratified 70/15/15% split: 365 train / 80 val / 81 test</w:t>
      </w:r>
    </w:p>
    <w:p>
      <w:pPr>
        <w:spacing w:before="240" w:after="80"/>
        <w:jc w:val="left"/>
      </w:pPr>
      <w:r>
        <w:rPr>
          <w:rFonts w:ascii="Times New Roman" w:hAnsi="Times New Roman"/>
          <w:b/>
          <w:sz w:val="24"/>
        </w:rPr>
        <w:t>3.3 Data Augmentation</w:t>
      </w:r>
    </w:p>
    <w:p>
      <w:pPr>
        <w:spacing w:after="80"/>
        <w:ind w:left="0"/>
        <w:jc w:val="both"/>
      </w:pPr>
      <w:r>
        <w:rPr>
          <w:rFonts w:ascii="Times New Roman" w:hAnsi="Times New Roman"/>
          <w:b w:val="0"/>
          <w:sz w:val="22"/>
        </w:rPr>
        <w:t>YOLOv8's built-in pipeline is applied: random HSV jitter (hue ±1.5%, sat ±70%, val ±40%), horizontal flip (p=0.5), and mosaic augmentation (4-image mixing, p=1.0).</w:t>
      </w:r>
    </w:p>
    <w:p>
      <w:pPr>
        <w:spacing w:before="240" w:after="80"/>
        <w:jc w:val="left"/>
      </w:pPr>
      <w:r>
        <w:rPr>
          <w:rFonts w:ascii="Times New Roman" w:hAnsi="Times New Roman"/>
          <w:b/>
          <w:sz w:val="28"/>
        </w:rPr>
        <w:t>4. Methodology</w:t>
      </w:r>
    </w:p>
    <w:p>
      <w:pPr>
        <w:spacing w:before="240" w:after="80"/>
        <w:jc w:val="left"/>
      </w:pPr>
      <w:r>
        <w:rPr>
          <w:rFonts w:ascii="Times New Roman" w:hAnsi="Times New Roman"/>
          <w:b/>
          <w:sz w:val="24"/>
        </w:rPr>
        <w:t>4.1 Classical CV Baseline</w:t>
      </w:r>
    </w:p>
    <w:p>
      <w:pPr>
        <w:spacing w:after="80"/>
        <w:ind w:left="0"/>
        <w:jc w:val="both"/>
      </w:pPr>
      <w:r>
        <w:rPr>
          <w:rFonts w:ascii="Times New Roman" w:hAnsi="Times New Roman"/>
          <w:b w:val="0"/>
          <w:sz w:val="22"/>
        </w:rPr>
        <w:t>HSV thresholding segments red (prohibitory), blue (mandatory), and yellow (danger) regions. Contours are extracted and filtered by minimum area (600 px²) and circularity (≥0.30). IoU-based NMS suppresses duplicates. No training data required.</w:t>
      </w:r>
    </w:p>
    <w:p>
      <w:pPr>
        <w:spacing w:before="240" w:after="80"/>
        <w:jc w:val="left"/>
      </w:pPr>
      <w:r>
        <w:rPr>
          <w:rFonts w:ascii="Times New Roman" w:hAnsi="Times New Roman"/>
          <w:b/>
          <w:sz w:val="24"/>
        </w:rPr>
        <w:t>4.2 Zero-Shot YOLOv8n Baseline</w:t>
      </w:r>
    </w:p>
    <w:p>
      <w:pPr>
        <w:spacing w:after="80"/>
        <w:ind w:left="0"/>
        <w:jc w:val="both"/>
      </w:pPr>
      <w:r>
        <w:rPr>
          <w:rFonts w:ascii="Times New Roman" w:hAnsi="Times New Roman"/>
          <w:b w:val="0"/>
          <w:sz w:val="22"/>
        </w:rPr>
        <w:t>Standard YOLOv8n pretrained on COCO (80 classes) is evaluated without fine-tuning, representing a true zero-shot scenario since COCO lacks traffic sign classes.</w:t>
      </w:r>
    </w:p>
    <w:p>
      <w:pPr>
        <w:spacing w:before="240" w:after="80"/>
        <w:jc w:val="left"/>
      </w:pPr>
      <w:r>
        <w:rPr>
          <w:rFonts w:ascii="Times New Roman" w:hAnsi="Times New Roman"/>
          <w:b/>
          <w:sz w:val="24"/>
        </w:rPr>
        <w:t>4.3 Fine-Tuned YOLOv8 Models</w:t>
      </w:r>
    </w:p>
    <w:p>
      <w:pPr>
        <w:spacing w:after="80"/>
        <w:ind w:left="0"/>
        <w:jc w:val="both"/>
      </w:pPr>
      <w:r>
        <w:rPr>
          <w:rFonts w:ascii="Times New Roman" w:hAnsi="Times New Roman"/>
          <w:b w:val="0"/>
          <w:sz w:val="22"/>
        </w:rPr>
        <w:t>Two YOLOv8 variants are fine-tuned: YOLOv8n (3.0M params, 8.2 GFLOPs) and YOLOv8s (11.1M params, 28.7 GFLOPs). Training: 80 epochs, 640×640 px, batch 16, AdamW optimiser (LR 0.001→0.01), NVIDIA RTX 2050 (4GB VRAM).</w:t>
      </w:r>
    </w:p>
    <w:p>
      <w:pPr>
        <w:spacing w:before="240" w:after="80"/>
        <w:jc w:val="left"/>
      </w:pPr>
      <w:r>
        <w:rPr>
          <w:rFonts w:ascii="Times New Roman" w:hAnsi="Times New Roman"/>
          <w:b/>
          <w:sz w:val="24"/>
        </w:rPr>
        <w:t>4.4 Ablation Study</w:t>
      </w:r>
    </w:p>
    <w:p>
      <w:pPr>
        <w:spacing w:after="80"/>
        <w:ind w:left="0"/>
        <w:jc w:val="both"/>
      </w:pPr>
      <w:r>
        <w:rPr>
          <w:rFonts w:ascii="Times New Roman" w:hAnsi="Times New Roman"/>
          <w:b w:val="0"/>
          <w:sz w:val="22"/>
        </w:rPr>
        <w:t>YOLOv8n is trained with all augmentation disabled (fliplr=0.0, mosaic=0.0) to isolate the contribution of augmentation to final mAP.</w:t>
      </w:r>
    </w:p>
    <w:p>
      <w:pPr>
        <w:spacing w:before="240" w:after="80"/>
        <w:jc w:val="left"/>
      </w:pPr>
      <w:r>
        <w:rPr>
          <w:rFonts w:ascii="Times New Roman" w:hAnsi="Times New Roman"/>
          <w:b/>
          <w:sz w:val="28"/>
        </w:rPr>
        <w:t>5. Experiments and Results</w:t>
      </w:r>
    </w:p>
    <w:p>
      <w:pPr>
        <w:spacing w:before="240" w:after="80"/>
        <w:jc w:val="left"/>
      </w:pPr>
      <w:r>
        <w:rPr>
          <w:rFonts w:ascii="Times New Roman" w:hAnsi="Times New Roman"/>
          <w:b/>
          <w:sz w:val="24"/>
        </w:rPr>
        <w:t>5.1 Quantitative Results</w:t>
      </w:r>
    </w:p>
    <w:p>
      <w:pPr>
        <w:spacing w:after="80"/>
        <w:ind w:left="0"/>
        <w:jc w:val="both"/>
      </w:pPr>
      <w:r>
        <w:rPr>
          <w:rFonts w:ascii="Times New Roman" w:hAnsi="Times New Roman"/>
          <w:b w:val="0"/>
          <w:sz w:val="22"/>
        </w:rPr>
        <w:t>All models evaluated on the held-out GTSDB test split (81 images, 3 super-classes):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ourier New" w:hAnsi="Courier New"/>
                <w:b/>
                <w:sz w:val="20"/>
              </w:rPr>
              <w:t>Model</w:t>
            </w:r>
          </w:p>
        </w:tc>
        <w:tc>
          <w:tcPr>
            <w:tcW w:type="dxa" w:w="1872"/>
          </w:tcPr>
          <w:p>
            <w:r>
              <w:rPr>
                <w:rFonts w:ascii="Courier New" w:hAnsi="Courier New"/>
                <w:b/>
                <w:sz w:val="20"/>
              </w:rPr>
              <w:t>mAP@0.5</w:t>
            </w:r>
          </w:p>
        </w:tc>
        <w:tc>
          <w:tcPr>
            <w:tcW w:type="dxa" w:w="1872"/>
          </w:tcPr>
          <w:p>
            <w:r>
              <w:rPr>
                <w:rFonts w:ascii="Courier New" w:hAnsi="Courier New"/>
                <w:b/>
                <w:sz w:val="20"/>
              </w:rPr>
              <w:t>mAP@0.5:0.95</w:t>
            </w:r>
          </w:p>
        </w:tc>
        <w:tc>
          <w:tcPr>
            <w:tcW w:type="dxa" w:w="1872"/>
          </w:tcPr>
          <w:p>
            <w:r>
              <w:rPr>
                <w:rFonts w:ascii="Courier New" w:hAnsi="Courier New"/>
                <w:b/>
                <w:sz w:val="20"/>
              </w:rPr>
              <w:t>Precision</w:t>
            </w:r>
          </w:p>
        </w:tc>
        <w:tc>
          <w:tcPr>
            <w:tcW w:type="dxa" w:w="1872"/>
          </w:tcPr>
          <w:p>
            <w:r>
              <w:rPr>
                <w:rFonts w:ascii="Courier New" w:hAnsi="Courier New"/>
                <w:b/>
                <w:sz w:val="20"/>
              </w:rPr>
              <w:t>Recall</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r>
              <w:rPr>
                <w:rFonts w:ascii="Courier New" w:hAnsi="Courier New"/>
                <w:sz w:val="20"/>
              </w:rPr>
              <w:t>Classical CV (HSV+Contour)</w:t>
            </w:r>
          </w:p>
        </w:tc>
        <w:tc>
          <w:tcPr>
            <w:tcW w:type="dxa" w:w="1872"/>
          </w:tcPr>
          <w:p>
            <w:r>
              <w:rPr>
                <w:rFonts w:ascii="Courier New" w:hAnsi="Courier New"/>
                <w:sz w:val="20"/>
              </w:rPr>
              <w:t>—</w:t>
            </w:r>
          </w:p>
        </w:tc>
        <w:tc>
          <w:tcPr>
            <w:tcW w:type="dxa" w:w="1872"/>
          </w:tcPr>
          <w:p>
            <w:r>
              <w:rPr>
                <w:rFonts w:ascii="Courier New" w:hAnsi="Courier New"/>
                <w:sz w:val="20"/>
              </w:rPr>
              <w:t>—</w:t>
            </w:r>
          </w:p>
        </w:tc>
        <w:tc>
          <w:tcPr>
            <w:tcW w:type="dxa" w:w="1872"/>
          </w:tcPr>
          <w:p>
            <w:r>
              <w:rPr>
                <w:rFonts w:ascii="Courier New" w:hAnsi="Courier New"/>
                <w:sz w:val="20"/>
              </w:rPr>
              <w:t>4.0%</w:t>
            </w:r>
          </w:p>
        </w:tc>
        <w:tc>
          <w:tcPr>
            <w:tcW w:type="dxa" w:w="1872"/>
          </w:tcPr>
          <w:p>
            <w:r>
              <w:rPr>
                <w:rFonts w:ascii="Courier New" w:hAnsi="Courier New"/>
                <w:sz w:val="20"/>
              </w:rPr>
              <w:t>15.5%</w:t>
            </w:r>
          </w:p>
        </w:tc>
      </w:tr>
      <w:tr>
        <w:tc>
          <w:tcPr>
            <w:tcW w:type="dxa" w:w="1872"/>
          </w:tcPr>
          <w:p>
            <w:r>
              <w:rPr>
                <w:rFonts w:ascii="Courier New" w:hAnsi="Courier New"/>
                <w:sz w:val="20"/>
              </w:rPr>
              <w:t>Zero-Shot YOLOv8n (COCO)</w:t>
            </w:r>
          </w:p>
        </w:tc>
        <w:tc>
          <w:tcPr>
            <w:tcW w:type="dxa" w:w="1872"/>
          </w:tcPr>
          <w:p>
            <w:r>
              <w:rPr>
                <w:rFonts w:ascii="Courier New" w:hAnsi="Courier New"/>
                <w:sz w:val="20"/>
              </w:rPr>
              <w:t>—</w:t>
            </w:r>
          </w:p>
        </w:tc>
        <w:tc>
          <w:tcPr>
            <w:tcW w:type="dxa" w:w="1872"/>
          </w:tcPr>
          <w:p>
            <w:r>
              <w:rPr>
                <w:rFonts w:ascii="Courier New" w:hAnsi="Courier New"/>
                <w:sz w:val="20"/>
              </w:rPr>
              <w:t>—</w:t>
            </w:r>
          </w:p>
        </w:tc>
        <w:tc>
          <w:tcPr>
            <w:tcW w:type="dxa" w:w="1872"/>
          </w:tcPr>
          <w:p>
            <w:r>
              <w:rPr>
                <w:rFonts w:ascii="Courier New" w:hAnsi="Courier New"/>
                <w:sz w:val="20"/>
              </w:rPr>
              <w:t>3.6%</w:t>
            </w:r>
          </w:p>
        </w:tc>
        <w:tc>
          <w:tcPr>
            <w:tcW w:type="dxa" w:w="1872"/>
          </w:tcPr>
          <w:p>
            <w:r>
              <w:rPr>
                <w:rFonts w:ascii="Courier New" w:hAnsi="Courier New"/>
                <w:sz w:val="20"/>
              </w:rPr>
              <w:t>20.0%</w:t>
            </w:r>
          </w:p>
        </w:tc>
      </w:tr>
      <w:tr>
        <w:tc>
          <w:tcPr>
            <w:tcW w:type="dxa" w:w="1872"/>
          </w:tcPr>
          <w:p>
            <w:r>
              <w:rPr>
                <w:rFonts w:ascii="Courier New" w:hAnsi="Courier New"/>
                <w:sz w:val="20"/>
              </w:rPr>
              <w:t>YOLOv8n (no aug)</w:t>
            </w:r>
          </w:p>
        </w:tc>
        <w:tc>
          <w:tcPr>
            <w:tcW w:type="dxa" w:w="1872"/>
          </w:tcPr>
          <w:p>
            <w:r>
              <w:rPr>
                <w:rFonts w:ascii="Courier New" w:hAnsi="Courier New"/>
                <w:sz w:val="20"/>
              </w:rPr>
              <w:t>84.8%</w:t>
            </w:r>
          </w:p>
        </w:tc>
        <w:tc>
          <w:tcPr>
            <w:tcW w:type="dxa" w:w="1872"/>
          </w:tcPr>
          <w:p>
            <w:r>
              <w:rPr>
                <w:rFonts w:ascii="Courier New" w:hAnsi="Courier New"/>
                <w:sz w:val="20"/>
              </w:rPr>
              <w:t>64.3%</w:t>
            </w:r>
          </w:p>
        </w:tc>
        <w:tc>
          <w:tcPr>
            <w:tcW w:type="dxa" w:w="1872"/>
          </w:tcPr>
          <w:p>
            <w:r>
              <w:rPr>
                <w:rFonts w:ascii="Courier New" w:hAnsi="Courier New"/>
                <w:sz w:val="20"/>
              </w:rPr>
              <w:t>87.7%</w:t>
            </w:r>
          </w:p>
        </w:tc>
        <w:tc>
          <w:tcPr>
            <w:tcW w:type="dxa" w:w="1872"/>
          </w:tcPr>
          <w:p>
            <w:r>
              <w:rPr>
                <w:rFonts w:ascii="Courier New" w:hAnsi="Courier New"/>
                <w:sz w:val="20"/>
              </w:rPr>
              <w:t>74.1%</w:t>
            </w:r>
          </w:p>
        </w:tc>
      </w:tr>
      <w:tr>
        <w:tc>
          <w:tcPr>
            <w:tcW w:type="dxa" w:w="1872"/>
          </w:tcPr>
          <w:p>
            <w:r>
              <w:rPr>
                <w:rFonts w:ascii="Courier New" w:hAnsi="Courier New"/>
                <w:sz w:val="20"/>
              </w:rPr>
              <w:t>YOLOv8n (with aug)</w:t>
            </w:r>
          </w:p>
        </w:tc>
        <w:tc>
          <w:tcPr>
            <w:tcW w:type="dxa" w:w="1872"/>
          </w:tcPr>
          <w:p>
            <w:r>
              <w:rPr>
                <w:rFonts w:ascii="Courier New" w:hAnsi="Courier New"/>
                <w:sz w:val="20"/>
              </w:rPr>
              <w:t>95.5%</w:t>
            </w:r>
          </w:p>
        </w:tc>
        <w:tc>
          <w:tcPr>
            <w:tcW w:type="dxa" w:w="1872"/>
          </w:tcPr>
          <w:p>
            <w:r>
              <w:rPr>
                <w:rFonts w:ascii="Courier New" w:hAnsi="Courier New"/>
                <w:sz w:val="20"/>
              </w:rPr>
              <w:t>73.3%</w:t>
            </w:r>
          </w:p>
        </w:tc>
        <w:tc>
          <w:tcPr>
            <w:tcW w:type="dxa" w:w="1872"/>
          </w:tcPr>
          <w:p>
            <w:r>
              <w:rPr>
                <w:rFonts w:ascii="Courier New" w:hAnsi="Courier New"/>
                <w:sz w:val="20"/>
              </w:rPr>
              <w:t>91.9%</w:t>
            </w:r>
          </w:p>
        </w:tc>
        <w:tc>
          <w:tcPr>
            <w:tcW w:type="dxa" w:w="1872"/>
          </w:tcPr>
          <w:p>
            <w:r>
              <w:rPr>
                <w:rFonts w:ascii="Courier New" w:hAnsi="Courier New"/>
                <w:sz w:val="20"/>
              </w:rPr>
              <w:t>91.0%</w:t>
            </w:r>
          </w:p>
        </w:tc>
      </w:tr>
      <w:tr>
        <w:tc>
          <w:tcPr>
            <w:tcW w:type="dxa" w:w="1872"/>
          </w:tcPr>
          <w:p>
            <w:r>
              <w:rPr>
                <w:rFonts w:ascii="Courier New" w:hAnsi="Courier New"/>
                <w:sz w:val="20"/>
              </w:rPr>
              <w:t>YOLOv8s (with aug) ★ BEST</w:t>
            </w:r>
          </w:p>
        </w:tc>
        <w:tc>
          <w:tcPr>
            <w:tcW w:type="dxa" w:w="1872"/>
          </w:tcPr>
          <w:p>
            <w:r>
              <w:rPr>
                <w:rFonts w:ascii="Courier New" w:hAnsi="Courier New"/>
                <w:sz w:val="20"/>
              </w:rPr>
              <w:t>97.1%</w:t>
            </w:r>
          </w:p>
        </w:tc>
        <w:tc>
          <w:tcPr>
            <w:tcW w:type="dxa" w:w="1872"/>
          </w:tcPr>
          <w:p>
            <w:r>
              <w:rPr>
                <w:rFonts w:ascii="Courier New" w:hAnsi="Courier New"/>
                <w:sz w:val="20"/>
              </w:rPr>
              <w:t>76.0%</w:t>
            </w:r>
          </w:p>
        </w:tc>
        <w:tc>
          <w:tcPr>
            <w:tcW w:type="dxa" w:w="1872"/>
          </w:tcPr>
          <w:p>
            <w:r>
              <w:rPr>
                <w:rFonts w:ascii="Courier New" w:hAnsi="Courier New"/>
                <w:sz w:val="20"/>
              </w:rPr>
              <w:t>96.5%</w:t>
            </w:r>
          </w:p>
        </w:tc>
        <w:tc>
          <w:tcPr>
            <w:tcW w:type="dxa" w:w="1872"/>
          </w:tcPr>
          <w:p>
            <w:r>
              <w:rPr>
                <w:rFonts w:ascii="Courier New" w:hAnsi="Courier New"/>
                <w:sz w:val="20"/>
              </w:rPr>
              <w:t>90.6%</w:t>
            </w:r>
          </w:p>
        </w:tc>
      </w:tr>
    </w:tbl>
    <w:p/>
    <w:p>
      <w:pPr>
        <w:spacing w:before="240" w:after="80"/>
        <w:jc w:val="left"/>
      </w:pPr>
      <w:r>
        <w:rPr>
          <w:rFonts w:ascii="Times New Roman" w:hAnsi="Times New Roman"/>
          <w:b/>
          <w:sz w:val="24"/>
        </w:rPr>
        <w:t>5.2 Ablation Study: Data Augmentation</w:t>
      </w:r>
    </w:p>
    <w:p>
      <w:pPr>
        <w:spacing w:after="80"/>
        <w:ind w:left="0"/>
        <w:jc w:val="both"/>
      </w:pPr>
      <w:r>
        <w:rPr>
          <w:rFonts w:ascii="Times New Roman" w:hAnsi="Times New Roman"/>
          <w:b w:val="0"/>
          <w:sz w:val="22"/>
        </w:rPr>
        <w:t>Removing augmentation causes a 10.7 pp drop in mAP@0.5 (84.8% vs 95.5%) and a 16.9 pp drop in recall. Augmentation acts as a 5–10× data multiplier on 365 training images.</w:t>
      </w:r>
    </w:p>
    <w:p>
      <w:pPr>
        <w:spacing w:before="240" w:after="80"/>
        <w:jc w:val="left"/>
      </w:pPr>
      <w:r>
        <w:rPr>
          <w:rFonts w:ascii="Times New Roman" w:hAnsi="Times New Roman"/>
          <w:b/>
          <w:sz w:val="24"/>
        </w:rPr>
        <w:t>5.3 Model Comparison: YOLOv8n vs YOLOv8s</w:t>
      </w:r>
    </w:p>
    <w:p>
      <w:pPr>
        <w:spacing w:after="80"/>
        <w:ind w:left="0"/>
        <w:jc w:val="both"/>
      </w:pPr>
      <w:r>
        <w:rPr>
          <w:rFonts w:ascii="Times New Roman" w:hAnsi="Times New Roman"/>
          <w:b w:val="0"/>
          <w:sz w:val="22"/>
        </w:rPr>
        <w:t>YOLOv8s achieves +1.6% mAP@0.5 over YOLOv8n at ~4× parameter cost (11.1M vs 3.0M). YOLOv8s is recommended as the deployment model.</w:t>
      </w:r>
    </w:p>
    <w:p>
      <w:pPr>
        <w:spacing w:before="240" w:after="80"/>
        <w:jc w:val="left"/>
      </w:pPr>
      <w:r>
        <w:rPr>
          <w:rFonts w:ascii="Times New Roman" w:hAnsi="Times New Roman"/>
          <w:b/>
          <w:sz w:val="24"/>
        </w:rPr>
        <w:t>5.4 Stretch Goal: 43-Class Fine-Grained Detection</w:t>
      </w:r>
    </w:p>
    <w:p>
      <w:pPr>
        <w:spacing w:after="80"/>
        <w:ind w:left="0"/>
        <w:jc w:val="both"/>
      </w:pPr>
      <w:r>
        <w:rPr>
          <w:rFonts w:ascii="Times New Roman" w:hAnsi="Times New Roman"/>
          <w:b w:val="0"/>
          <w:sz w:val="22"/>
        </w:rPr>
        <w:t>The fine-grained model achieves 24.7% mAP@0.5 on the validation set after 100 epochs (12.5 minutes, RTX 2050). Low test-set mAP (~1.0%) reflects extreme class sparsity (&lt;9 instances/class in the 81-image test split). The model qualitatively identifies speed limit values and mandatory turn signs at reasonable confidence.</w:t>
      </w:r>
    </w:p>
    <w:p>
      <w:pPr>
        <w:spacing w:before="240" w:after="80"/>
        <w:jc w:val="left"/>
      </w:pPr>
      <w:r>
        <w:rPr>
          <w:rFonts w:ascii="Times New Roman" w:hAnsi="Times New Roman"/>
          <w:b/>
          <w:sz w:val="28"/>
        </w:rPr>
        <w:t>6. Qualitative Results</w:t>
      </w:r>
    </w:p>
    <w:p>
      <w:pPr>
        <w:spacing w:before="240" w:after="80"/>
        <w:jc w:val="left"/>
      </w:pPr>
      <w:r>
        <w:rPr>
          <w:rFonts w:ascii="Times New Roman" w:hAnsi="Times New Roman"/>
          <w:b/>
          <w:sz w:val="24"/>
        </w:rPr>
        <w:t>6.1 Success Cases</w:t>
      </w:r>
    </w:p>
    <w:p>
      <w:pPr>
        <w:pStyle w:val="ListBullet"/>
        <w:spacing w:after="40"/>
        <w:ind w:left="360"/>
      </w:pPr>
      <w:r>
        <w:rPr>
          <w:rFonts w:ascii="Times New Roman" w:hAnsi="Times New Roman"/>
          <w:b w:val="0"/>
          <w:sz w:val="22"/>
        </w:rPr>
        <w:t>Speed limit signs partially obscured by tree branches</w:t>
      </w:r>
    </w:p>
    <w:p>
      <w:pPr>
        <w:pStyle w:val="ListBullet"/>
        <w:spacing w:after="40"/>
        <w:ind w:left="360"/>
      </w:pPr>
      <w:r>
        <w:rPr>
          <w:rFonts w:ascii="Times New Roman" w:hAnsi="Times New Roman"/>
          <w:b w:val="0"/>
          <w:sz w:val="22"/>
        </w:rPr>
        <w:t>Small signs at distance (height &lt; 30 px)</w:t>
      </w:r>
    </w:p>
    <w:p>
      <w:pPr>
        <w:pStyle w:val="ListBullet"/>
        <w:spacing w:after="40"/>
        <w:ind w:left="360"/>
      </w:pPr>
      <w:r>
        <w:rPr>
          <w:rFonts w:ascii="Times New Roman" w:hAnsi="Times New Roman"/>
          <w:b w:val="0"/>
          <w:sz w:val="22"/>
        </w:rPr>
        <w:t>Multiple signs in the same frame at different scales</w:t>
      </w:r>
    </w:p>
    <w:p>
      <w:pPr>
        <w:spacing w:before="240" w:after="80"/>
        <w:jc w:val="left"/>
      </w:pPr>
      <w:r>
        <w:rPr>
          <w:rFonts w:ascii="Times New Roman" w:hAnsi="Times New Roman"/>
          <w:b/>
          <w:sz w:val="24"/>
        </w:rPr>
        <w:t>6.2 Failure Cases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ourier New" w:hAnsi="Courier New"/>
                <w:b/>
                <w:sz w:val="20"/>
              </w:rPr>
              <w:t>Failure Mode</w:t>
            </w:r>
          </w:p>
        </w:tc>
        <w:tc>
          <w:tcPr>
            <w:tcW w:type="dxa" w:w="3120"/>
          </w:tcPr>
          <w:p>
            <w:r>
              <w:rPr>
                <w:rFonts w:ascii="Courier New" w:hAnsi="Courier New"/>
                <w:b/>
                <w:sz w:val="20"/>
              </w:rPr>
              <w:t>Cause</w:t>
            </w:r>
          </w:p>
        </w:tc>
        <w:tc>
          <w:tcPr>
            <w:tcW w:type="dxa" w:w="3120"/>
          </w:tcPr>
          <w:p>
            <w:r>
              <w:rPr>
                <w:rFonts w:ascii="Courier New" w:hAnsi="Courier New"/>
                <w:b/>
                <w:sz w:val="20"/>
              </w:rPr>
              <w:t>Frequency</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r>
              <w:rPr>
                <w:rFonts w:ascii="Courier New" w:hAnsi="Courier New"/>
                <w:sz w:val="20"/>
              </w:rPr>
              <w:t>Tiny distant signs (&lt; 20×20 px)</w:t>
            </w:r>
          </w:p>
        </w:tc>
        <w:tc>
          <w:tcPr>
            <w:tcW w:type="dxa" w:w="3120"/>
          </w:tcPr>
          <w:p>
            <w:r>
              <w:rPr>
                <w:rFonts w:ascii="Courier New" w:hAnsi="Courier New"/>
                <w:sz w:val="20"/>
              </w:rPr>
              <w:t>Below feature resolution</w:t>
            </w:r>
          </w:p>
        </w:tc>
        <w:tc>
          <w:tcPr>
            <w:tcW w:type="dxa" w:w="3120"/>
          </w:tcPr>
          <w:p>
            <w:r>
              <w:rPr>
                <w:rFonts w:ascii="Courier New" w:hAnsi="Courier New"/>
                <w:sz w:val="20"/>
              </w:rPr>
              <w:t>Moderate</w:t>
            </w:r>
          </w:p>
        </w:tc>
      </w:tr>
      <w:tr>
        <w:tc>
          <w:tcPr>
            <w:tcW w:type="dxa" w:w="3120"/>
          </w:tcPr>
          <w:p>
            <w:r>
              <w:rPr>
                <w:rFonts w:ascii="Courier New" w:hAnsi="Courier New"/>
                <w:sz w:val="20"/>
              </w:rPr>
              <w:t>Heavily occluded signs</w:t>
            </w:r>
          </w:p>
        </w:tc>
        <w:tc>
          <w:tcPr>
            <w:tcW w:type="dxa" w:w="3120"/>
          </w:tcPr>
          <w:p>
            <w:r>
              <w:rPr>
                <w:rFonts w:ascii="Courier New" w:hAnsi="Courier New"/>
                <w:sz w:val="20"/>
              </w:rPr>
              <w:t>Insufficient training examples</w:t>
            </w:r>
          </w:p>
        </w:tc>
        <w:tc>
          <w:tcPr>
            <w:tcW w:type="dxa" w:w="3120"/>
          </w:tcPr>
          <w:p>
            <w:r>
              <w:rPr>
                <w:rFonts w:ascii="Courier New" w:hAnsi="Courier New"/>
                <w:sz w:val="20"/>
              </w:rPr>
              <w:t>Low</w:t>
            </w:r>
          </w:p>
        </w:tc>
      </w:tr>
      <w:tr>
        <w:tc>
          <w:tcPr>
            <w:tcW w:type="dxa" w:w="3120"/>
          </w:tcPr>
          <w:p>
            <w:r>
              <w:rPr>
                <w:rFonts w:ascii="Courier New" w:hAnsi="Courier New"/>
                <w:sz w:val="20"/>
              </w:rPr>
              <w:t>Rare class miss (danger signs)</w:t>
            </w:r>
          </w:p>
        </w:tc>
        <w:tc>
          <w:tcPr>
            <w:tcW w:type="dxa" w:w="3120"/>
          </w:tcPr>
          <w:p>
            <w:r>
              <w:rPr>
                <w:rFonts w:ascii="Courier New" w:hAnsi="Courier New"/>
                <w:sz w:val="20"/>
              </w:rPr>
              <w:t>Class imbalance</w:t>
            </w:r>
          </w:p>
        </w:tc>
        <w:tc>
          <w:tcPr>
            <w:tcW w:type="dxa" w:w="3120"/>
          </w:tcPr>
          <w:p>
            <w:r>
              <w:rPr>
                <w:rFonts w:ascii="Courier New" w:hAnsi="Courier New"/>
                <w:sz w:val="20"/>
              </w:rPr>
              <w:t>Low</w:t>
            </w:r>
          </w:p>
        </w:tc>
      </w:tr>
      <w:tr>
        <w:tc>
          <w:tcPr>
            <w:tcW w:type="dxa" w:w="3120"/>
          </w:tcPr>
          <w:p>
            <w:r>
              <w:rPr>
                <w:rFonts w:ascii="Courier New" w:hAnsi="Courier New"/>
                <w:sz w:val="20"/>
              </w:rPr>
              <w:t>Night / low-light scenes</w:t>
            </w:r>
          </w:p>
        </w:tc>
        <w:tc>
          <w:tcPr>
            <w:tcW w:type="dxa" w:w="3120"/>
          </w:tcPr>
          <w:p>
            <w:r>
              <w:rPr>
                <w:rFonts w:ascii="Courier New" w:hAnsi="Courier New"/>
                <w:sz w:val="20"/>
              </w:rPr>
              <w:t>Not in GTSDB training data</w:t>
            </w:r>
          </w:p>
        </w:tc>
        <w:tc>
          <w:tcPr>
            <w:tcW w:type="dxa" w:w="3120"/>
          </w:tcPr>
          <w:p>
            <w:r>
              <w:rPr>
                <w:rFonts w:ascii="Courier New" w:hAnsi="Courier New"/>
                <w:sz w:val="20"/>
              </w:rPr>
              <w:t>Not tested</w:t>
            </w:r>
          </w:p>
        </w:tc>
      </w:tr>
    </w:tbl>
    <w:p/>
    <w:p>
      <w:pPr>
        <w:spacing w:before="240" w:after="80"/>
        <w:jc w:val="left"/>
      </w:pPr>
      <w:r>
        <w:rPr>
          <w:rFonts w:ascii="Times New Roman" w:hAnsi="Times New Roman"/>
          <w:b/>
          <w:sz w:val="28"/>
        </w:rPr>
        <w:t>7. Analysis and Limitations</w:t>
      </w:r>
    </w:p>
    <w:p>
      <w:pPr>
        <w:spacing w:after="80"/>
        <w:ind w:left="0"/>
        <w:jc w:val="both"/>
      </w:pPr>
      <w:r>
        <w:rPr>
          <w:rFonts w:ascii="Times New Roman" w:hAnsi="Times New Roman"/>
          <w:b w:val="0"/>
          <w:sz w:val="22"/>
        </w:rPr>
        <w:t>Transfer learning from COCO dramatically reduces data requirements — only 365 training images suffice to achieve 95%+ mAP. Classical CV cannot reliably generalise; the HSV approach is highly sensitive to threshold parameters. The zero-shot baseline fails (3.6% precision), confirming domain-specific fine-tuning is essential.</w:t>
      </w:r>
    </w:p>
    <w:p>
      <w:pPr>
        <w:spacing w:after="80"/>
        <w:ind w:left="0"/>
        <w:jc w:val="both"/>
      </w:pPr>
      <w:r>
        <w:rPr>
          <w:rFonts w:ascii="Times New Roman" w:hAnsi="Times New Roman"/>
          <w:b w:val="0"/>
          <w:sz w:val="22"/>
        </w:rPr>
        <w:t>Limitations:</w:t>
      </w:r>
    </w:p>
    <w:p>
      <w:pPr>
        <w:pStyle w:val="ListBullet"/>
        <w:spacing w:after="40"/>
        <w:ind w:left="360"/>
      </w:pPr>
      <w:r>
        <w:rPr>
          <w:rFonts w:ascii="Times New Roman" w:hAnsi="Times New Roman"/>
          <w:b w:val="0"/>
          <w:sz w:val="22"/>
        </w:rPr>
        <w:t>GTSDB contains only 900 images — larger datasets would yield higher absolute performance</w:t>
      </w:r>
    </w:p>
    <w:p>
      <w:pPr>
        <w:pStyle w:val="ListBullet"/>
        <w:spacing w:after="40"/>
        <w:ind w:left="360"/>
      </w:pPr>
      <w:r>
        <w:rPr>
          <w:rFonts w:ascii="Times New Roman" w:hAnsi="Times New Roman"/>
          <w:b w:val="0"/>
          <w:sz w:val="22"/>
        </w:rPr>
        <w:t>3-class grouping simplifies the real-world task (exact sign values matter for ADAS)</w:t>
      </w:r>
    </w:p>
    <w:p>
      <w:pPr>
        <w:pStyle w:val="ListBullet"/>
        <w:spacing w:after="40"/>
        <w:ind w:left="360"/>
      </w:pPr>
      <w:r>
        <w:rPr>
          <w:rFonts w:ascii="Times New Roman" w:hAnsi="Times New Roman"/>
          <w:b w:val="0"/>
          <w:sz w:val="22"/>
        </w:rPr>
        <w:t>Night-time, rain, and motion blur are absent from GTSDB</w:t>
      </w:r>
    </w:p>
    <w:p>
      <w:pPr>
        <w:spacing w:before="240" w:after="80"/>
        <w:jc w:val="left"/>
      </w:pPr>
      <w:r>
        <w:rPr>
          <w:rFonts w:ascii="Times New Roman" w:hAnsi="Times New Roman"/>
          <w:b/>
          <w:sz w:val="28"/>
        </w:rPr>
        <w:t>8. Conclusion and Future Work</w:t>
      </w:r>
    </w:p>
    <w:p>
      <w:pPr>
        <w:spacing w:after="80"/>
        <w:ind w:left="0"/>
        <w:jc w:val="both"/>
      </w:pPr>
      <w:r>
        <w:rPr>
          <w:rFonts w:ascii="Times New Roman" w:hAnsi="Times New Roman"/>
          <w:b w:val="0"/>
          <w:sz w:val="22"/>
        </w:rPr>
        <w:t>We presented a complete traffic sign detection pipeline on GTSDB. Fine-tuned YOLOv8s achieves 97.1% mAP@0.5, far exceeding classical CV (4% precision). Data augmentation contributes 10.7 pp improvement. Our Streamlit demo supports real-time image and video inference with 5 model options including a fine-grained 43-class stretch goal.</w:t>
      </w:r>
    </w:p>
    <w:p>
      <w:pPr>
        <w:spacing w:after="80"/>
        <w:ind w:left="0"/>
        <w:jc w:val="both"/>
      </w:pPr>
      <w:r>
        <w:rPr>
          <w:rFonts w:ascii="Times New Roman" w:hAnsi="Times New Roman"/>
          <w:b w:val="0"/>
          <w:sz w:val="22"/>
        </w:rPr>
        <w:t>Future work: TT100K/LISA for cross-domain generalisation; YOLO11/RT-DETR; TensorRT edge deployment on Jetson Nano; night/weather augmentation.</w:t>
      </w:r>
    </w:p>
    <w:p>
      <w:pPr>
        <w:spacing w:before="240" w:after="80"/>
        <w:jc w:val="left"/>
      </w:pPr>
      <w:r>
        <w:rPr>
          <w:rFonts w:ascii="Times New Roman" w:hAnsi="Times New Roman"/>
          <w:b/>
          <w:sz w:val="28"/>
        </w:rPr>
        <w:t>References</w:t>
      </w:r>
    </w:p>
    <w:p>
      <w:pPr>
        <w:spacing w:after="80"/>
        <w:ind w:left="0"/>
        <w:jc w:val="both"/>
      </w:pPr>
      <w:r>
        <w:rPr>
          <w:rFonts w:ascii="Times New Roman" w:hAnsi="Times New Roman"/>
          <w:b w:val="0"/>
          <w:sz w:val="22"/>
        </w:rPr>
        <w:t>[1] S. Houben et al., "Detection of traffic signs in real-world images: The GTSDB," IJCNN, 2013.</w:t>
      </w:r>
    </w:p>
    <w:p>
      <w:pPr>
        <w:spacing w:after="80"/>
        <w:ind w:left="0"/>
        <w:jc w:val="both"/>
      </w:pPr>
      <w:r>
        <w:rPr>
          <w:rFonts w:ascii="Times New Roman" w:hAnsi="Times New Roman"/>
          <w:b w:val="0"/>
          <w:sz w:val="22"/>
        </w:rPr>
        <w:t>[2] S. Ren et al., "Faster R-CNN," NeurIPS, 2015.</w:t>
      </w:r>
    </w:p>
    <w:p>
      <w:pPr>
        <w:spacing w:after="80"/>
        <w:ind w:left="0"/>
        <w:jc w:val="both"/>
      </w:pPr>
      <w:r>
        <w:rPr>
          <w:rFonts w:ascii="Times New Roman" w:hAnsi="Times New Roman"/>
          <w:b w:val="0"/>
          <w:sz w:val="22"/>
        </w:rPr>
        <w:t>[3] W. Liu et al., "SSD: Single shot multibox detector," ECCV, 2016.</w:t>
      </w:r>
    </w:p>
    <w:p>
      <w:pPr>
        <w:spacing w:after="80"/>
        <w:ind w:left="0"/>
        <w:jc w:val="both"/>
      </w:pPr>
      <w:r>
        <w:rPr>
          <w:rFonts w:ascii="Times New Roman" w:hAnsi="Times New Roman"/>
          <w:b w:val="0"/>
          <w:sz w:val="22"/>
        </w:rPr>
        <w:t>[4] J. Redmon et al., "You only look once," CVPR, 2016.</w:t>
      </w:r>
    </w:p>
    <w:p>
      <w:pPr>
        <w:spacing w:after="80"/>
        <w:ind w:left="0"/>
        <w:jc w:val="both"/>
      </w:pPr>
      <w:r>
        <w:rPr>
          <w:rFonts w:ascii="Times New Roman" w:hAnsi="Times New Roman"/>
          <w:b w:val="0"/>
          <w:sz w:val="22"/>
        </w:rPr>
        <w:t>[5] Ultralytics, "YOLOv8 Documentation," 2023. https://docs.ultralytics.com</w:t>
      </w:r>
    </w:p>
    <w:p>
      <w:pPr>
        <w:spacing w:after="80"/>
        <w:ind w:left="0"/>
        <w:jc w:val="both"/>
      </w:pPr>
      <w:r>
        <w:rPr>
          <w:rFonts w:ascii="Times New Roman" w:hAnsi="Times New Roman"/>
          <w:b w:val="0"/>
          <w:sz w:val="22"/>
        </w:rPr>
        <w:t>[6] J. Stallkamp et al., "GTSRB," IJCNN, 2011.</w:t>
      </w:r>
    </w:p>
    <w:p>
      <w:pPr>
        <w:spacing w:after="80"/>
        <w:ind w:left="0"/>
        <w:jc w:val="both"/>
      </w:pPr>
      <w:r>
        <w:rPr>
          <w:rFonts w:ascii="Times New Roman" w:hAnsi="Times New Roman"/>
          <w:b w:val="0"/>
          <w:sz w:val="22"/>
        </w:rPr>
        <w:t>[7] Z. Zhu et al., "Traffic-sign detection and classification in the wild," CVPR, 2016.</w:t>
      </w:r>
    </w:p>
    <w:p>
      <w:pPr>
        <w:spacing w:after="80"/>
        <w:ind w:left="0"/>
        <w:jc w:val="both"/>
      </w:pPr>
      <w:r>
        <w:rPr>
          <w:rFonts w:ascii="Times New Roman" w:hAnsi="Times New Roman"/>
          <w:b w:val="0"/>
          <w:sz w:val="22"/>
        </w:rPr>
        <w:t>[8] A. Mogelmose et al., "Vision-based traffic sign detection," IEEE Trans. ITS, 2012.</w:t>
      </w:r>
    </w:p>
    <w:p>
      <w:pPr>
        <w:spacing w:after="80"/>
        <w:ind w:left="0"/>
        <w:jc w:val="both"/>
      </w:pPr>
      <w:r>
        <w:rPr>
          <w:rFonts w:ascii="Times New Roman" w:hAnsi="Times New Roman"/>
          <w:b w:val="0"/>
          <w:sz w:val="22"/>
        </w:rPr>
        <w:t>[9] J. Howard and S. Ruder, "Universal language model fine-tuning," ACL, 2018.</w:t>
      </w:r>
    </w:p>
    <w:p>
      <w:pPr>
        <w:spacing w:before="240" w:after="80"/>
        <w:jc w:val="left"/>
      </w:pPr>
      <w:r>
        <w:rPr>
          <w:rFonts w:ascii="Times New Roman" w:hAnsi="Times New Roman"/>
          <w:b/>
          <w:sz w:val="28"/>
        </w:rPr>
        <w:t>Individual Contributions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ourier New" w:hAnsi="Courier New"/>
                <w:b/>
                <w:sz w:val="20"/>
              </w:rPr>
              <w:t>Member</w:t>
            </w:r>
          </w:p>
        </w:tc>
        <w:tc>
          <w:tcPr>
            <w:tcW w:type="dxa" w:w="3120"/>
          </w:tcPr>
          <w:p>
            <w:r>
              <w:rPr>
                <w:rFonts w:ascii="Courier New" w:hAnsi="Courier New"/>
                <w:b/>
                <w:sz w:val="20"/>
              </w:rPr>
              <w:t>Reg. No.</w:t>
            </w:r>
          </w:p>
        </w:tc>
        <w:tc>
          <w:tcPr>
            <w:tcW w:type="dxa" w:w="3120"/>
          </w:tcPr>
          <w:p>
            <w:r>
              <w:rPr>
                <w:rFonts w:ascii="Courier New" w:hAnsi="Courier New"/>
                <w:b/>
                <w:sz w:val="20"/>
              </w:rPr>
              <w:t>Primary Contributions</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r>
              <w:rPr>
                <w:rFonts w:ascii="Courier New" w:hAnsi="Courier New"/>
                <w:sz w:val="20"/>
              </w:rPr>
              <w:t>R.M.S.S. Kumara</w:t>
            </w:r>
          </w:p>
        </w:tc>
        <w:tc>
          <w:tcPr>
            <w:tcW w:type="dxa" w:w="3120"/>
          </w:tcPr>
          <w:p>
            <w:r>
              <w:rPr>
                <w:rFonts w:ascii="Courier New" w:hAnsi="Courier New"/>
                <w:sz w:val="20"/>
              </w:rPr>
              <w:t>E/22/203</w:t>
            </w:r>
          </w:p>
        </w:tc>
        <w:tc>
          <w:tcPr>
            <w:tcW w:type="dxa" w:w="3120"/>
          </w:tcPr>
          <w:p>
            <w:r>
              <w:rPr>
                <w:rFonts w:ascii="Courier New" w:hAnsi="Courier New"/>
                <w:sz w:val="20"/>
              </w:rPr>
              <w:t>Dataset pipeline, YOLO fine-tuning (YOLOv8n/s), Streamlit demo (image+video), README &amp; GitHub</w:t>
            </w:r>
          </w:p>
        </w:tc>
      </w:tr>
      <w:tr>
        <w:tc>
          <w:tcPr>
            <w:tcW w:type="dxa" w:w="3120"/>
          </w:tcPr>
          <w:p>
            <w:r>
              <w:rPr>
                <w:rFonts w:ascii="Courier New" w:hAnsi="Courier New"/>
                <w:sz w:val="20"/>
              </w:rPr>
              <w:t>K.I. Sewmini</w:t>
            </w:r>
          </w:p>
        </w:tc>
        <w:tc>
          <w:tcPr>
            <w:tcW w:type="dxa" w:w="3120"/>
          </w:tcPr>
          <w:p>
            <w:r>
              <w:rPr>
                <w:rFonts w:ascii="Courier New" w:hAnsi="Courier New"/>
                <w:sz w:val="20"/>
              </w:rPr>
              <w:t>E/22/372</w:t>
            </w:r>
          </w:p>
        </w:tc>
        <w:tc>
          <w:tcPr>
            <w:tcW w:type="dxa" w:w="3120"/>
          </w:tcPr>
          <w:p>
            <w:r>
              <w:rPr>
                <w:rFonts w:ascii="Courier New" w:hAnsi="Courier New"/>
                <w:sz w:val="20"/>
              </w:rPr>
              <w:t>43-class dataset preparation (--use_fine_classes), Windows encoding fix, dataset verification</w:t>
            </w:r>
          </w:p>
        </w:tc>
      </w:tr>
      <w:tr>
        <w:tc>
          <w:tcPr>
            <w:tcW w:type="dxa" w:w="3120"/>
          </w:tcPr>
          <w:p>
            <w:r>
              <w:rPr>
                <w:rFonts w:ascii="Courier New" w:hAnsi="Courier New"/>
                <w:sz w:val="20"/>
              </w:rPr>
              <w:t>S.I. Gunawardhana</w:t>
            </w:r>
          </w:p>
        </w:tc>
        <w:tc>
          <w:tcPr>
            <w:tcW w:type="dxa" w:w="3120"/>
          </w:tcPr>
          <w:p>
            <w:r>
              <w:rPr>
                <w:rFonts w:ascii="Courier New" w:hAnsi="Courier New"/>
                <w:sz w:val="20"/>
              </w:rPr>
              <w:t>E/22/127</w:t>
            </w:r>
          </w:p>
        </w:tc>
        <w:tc>
          <w:tcPr>
            <w:tcW w:type="dxa" w:w="3120"/>
          </w:tcPr>
          <w:p>
            <w:r>
              <w:rPr>
                <w:rFonts w:ascii="Courier New" w:hAnsi="Courier New"/>
                <w:sz w:val="20"/>
              </w:rPr>
              <w:t>Classical CV baseline, ablation configuration, dataset download scripts</w:t>
            </w:r>
          </w:p>
        </w:tc>
      </w:tr>
      <w:tr>
        <w:tc>
          <w:tcPr>
            <w:tcW w:type="dxa" w:w="3120"/>
          </w:tcPr>
          <w:p>
            <w:r>
              <w:rPr>
                <w:rFonts w:ascii="Courier New" w:hAnsi="Courier New"/>
                <w:sz w:val="20"/>
              </w:rPr>
              <w:t>A.W.H. Panchani</w:t>
            </w:r>
          </w:p>
        </w:tc>
        <w:tc>
          <w:tcPr>
            <w:tcW w:type="dxa" w:w="3120"/>
          </w:tcPr>
          <w:p>
            <w:r>
              <w:rPr>
                <w:rFonts w:ascii="Courier New" w:hAnsi="Courier New"/>
                <w:sz w:val="20"/>
              </w:rPr>
              <w:t>E/22/269</w:t>
            </w:r>
          </w:p>
        </w:tc>
        <w:tc>
          <w:tcPr>
            <w:tcW w:type="dxa" w:w="3120"/>
          </w:tcPr>
          <w:p>
            <w:r>
              <w:rPr>
                <w:rFonts w:ascii="Courier New" w:hAnsi="Courier New"/>
                <w:sz w:val="20"/>
              </w:rPr>
              <w:t>EDA notebook, zero-shot evaluation, qualitative failure case analysis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