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27.0" w:type="dxa"/>
        <w:jc w:val="center"/>
        <w:tblLayout w:type="fixed"/>
        <w:tblLook w:val="0000"/>
      </w:tblPr>
      <w:tblGrid>
        <w:gridCol w:w="1224"/>
        <w:gridCol w:w="7003"/>
        <w:tblGridChange w:id="0">
          <w:tblGrid>
            <w:gridCol w:w="1224"/>
            <w:gridCol w:w="7003"/>
          </w:tblGrid>
        </w:tblGridChange>
      </w:tblGrid>
      <w:tr>
        <w:tc>
          <w:tcPr>
            <w:vAlign w:val="center"/>
          </w:tcPr>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Pr>
              <w:drawing>
                <wp:inline distB="0" distT="0" distL="0" distR="0">
                  <wp:extent cx="571500" cy="6953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1500" cy="695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Sri Lanka Institute of Information Technology</w:t>
            </w:r>
          </w:p>
        </w:tc>
      </w:tr>
    </w:tbl>
    <w:p w:rsidR="00000000" w:rsidDel="00000000" w:rsidP="00000000" w:rsidRDefault="00000000" w:rsidRPr="00000000">
      <w:pPr>
        <w:ind w:left="2160" w:firstLine="720"/>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Topic Assessment – 2018</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Problem: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829300" cy="4124325"/>
                <wp:effectExtent b="0" l="0" r="0" t="0"/>
                <wp:wrapNone/>
                <wp:docPr id="2" name=""/>
                <a:graphic>
                  <a:graphicData uri="http://schemas.microsoft.com/office/word/2010/wordprocessingShape">
                    <wps:wsp>
                      <wps:cNvSpPr/>
                      <wps:cNvPr id="2" name="Shape 2"/>
                      <wps:spPr>
                        <a:xfrm>
                          <a:off x="2436113" y="1722600"/>
                          <a:ext cx="5819775" cy="4114800"/>
                        </a:xfrm>
                        <a:prstGeom prst="rect">
                          <a:avLst/>
                        </a:prstGeom>
                        <a:solidFill>
                          <a:srgbClr val="FFFFFF"/>
                        </a:solidFill>
                        <a:ln cap="flat" cmpd="sng" w="9525">
                          <a:solidFill>
                            <a:srgbClr val="538CD5"/>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In the advancement of wireless communications technology, Mobile Ad Hoc Networks also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called MANET plays vital role in today’s communication technology. It is a collection of mobile nodes that are connected together over a wireless medium. Nodes can be deployed easily and they move randomly as they want, without the support of any centralized structure and irrespective of time, hence due this self-configuration, self-healing and self-optimization characteristics, they are also called as self-organized networks. Nodes in the network can join and leave at any time leading to dynamic topology. At the same time providing security in such environment is difficult due to distinct nature hence probability rate of failure is very high compared to traditional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For the Ad-Hoc routing protocols used in IoT network infrastructures, trustworthiness is a key factor to be considered. Maintaining consistent and robust routing paths to communicate for those devices is a crucial point. Existing routing protocols does not accommodate this risk factor into consideration properly. This can lead to many IoT device failure with resource constrained environments.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r w:rsidDel="00000000" w:rsidR="00000000" w:rsidRPr="00000000">
                              <w:rPr>
                                <w:rFonts w:ascii="Times" w:cs="Times" w:eastAsia="Times" w:hAnsi="Times"/>
                                <w:b w:val="0"/>
                                <w:i w:val="0"/>
                                <w:smallCaps w:val="0"/>
                                <w:strike w:val="0"/>
                                <w:color w:val="000000"/>
                                <w:sz w:val="24"/>
                                <w:vertAlign w:val="baseline"/>
                              </w:rPr>
                              <w:t xml:space="preserve">Due to MANET’s distributed nature, ad hoc networks are vulnerable to various attacks. One strategy to improve security of ad hoc networks is to develop mechanisms that allow a node to evaluate trustworthiness of other nodes. Such mechanisms not only help in malicious node detection, but also improve network performance because honest nodes can avoid working with less trustworthy nodes.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829300" cy="412432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829300" cy="4124325"/>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Area:</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5829300" cy="2417445"/>
                <wp:effectExtent b="0" l="0" r="0" t="0"/>
                <wp:wrapNone/>
                <wp:docPr id="5" name=""/>
                <a:graphic>
                  <a:graphicData uri="http://schemas.microsoft.com/office/word/2010/wordprocessingShape">
                    <wps:wsp>
                      <wps:cNvSpPr/>
                      <wps:cNvPr id="5" name="Shape 5"/>
                      <wps:spPr>
                        <a:xfrm>
                          <a:off x="2436113" y="2576040"/>
                          <a:ext cx="5819775" cy="2407920"/>
                        </a:xfrm>
                        <a:prstGeom prst="rect">
                          <a:avLst/>
                        </a:prstGeom>
                        <a:solidFill>
                          <a:srgbClr val="FFFFFF"/>
                        </a:solidFill>
                        <a:ln cap="flat" cmpd="sng" w="9525">
                          <a:solidFill>
                            <a:srgbClr val="538CD5"/>
                          </a:solidFill>
                          <a:prstDash val="solid"/>
                          <a:miter lim="800000"/>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Machine Learning: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Reinforcement Learning which is a subset of machine learning will be used to propagate the data packet within MANET structure.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Network security: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Dynamic routing protocol has to be altered in order to build trust-based algorithms which monitor the neighbor nodes interactions.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5829300" cy="2417445"/>
                <wp:effectExtent b="0" l="0" r="0" t="0"/>
                <wp:wrapNone/>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829300" cy="2417445"/>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Solution proposed: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910580" cy="3769995"/>
                <wp:effectExtent b="0" l="0" r="0" t="0"/>
                <wp:wrapNone/>
                <wp:docPr id="3" name=""/>
                <a:graphic>
                  <a:graphicData uri="http://schemas.microsoft.com/office/word/2010/wordprocessingShape">
                    <wps:wsp>
                      <wps:cNvSpPr/>
                      <wps:cNvPr id="3" name="Shape 3"/>
                      <wps:spPr>
                        <a:xfrm>
                          <a:off x="2395473" y="1899765"/>
                          <a:ext cx="5901055" cy="3760470"/>
                        </a:xfrm>
                        <a:prstGeom prst="rect">
                          <a:avLst/>
                        </a:prstGeom>
                        <a:solidFill>
                          <a:srgbClr val="FFFFFF"/>
                        </a:solidFill>
                        <a:ln cap="flat" cmpd="sng" w="9525">
                          <a:solidFill>
                            <a:srgbClr val="538CD5"/>
                          </a:solidFill>
                          <a:prstDash val="solid"/>
                          <a:miter lim="800000"/>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have proposed a trust-based security model to detect the misbehaving nodes over Ad Hoc On-Demand Distance Vector (AODV) routing protocol. Here we avoid the misbehaving nodes by calculating trust and recommendation based on the Q-learning mechanism by using their historical forwarding and responding behavior.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Trust is measured for directional flows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Here trust value calculation process is bit similar to trust level among human beings which means trust value between A to B is not always same as B to 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Instead of traditional way of sending packets from one source to destination via the shortest path which can be unsecured, we are proposing predictions with RL model when selecting the routing paths to forward the data packets where this new routing protocol is more robust with the existing implementations.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910580" cy="3769995"/>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10580" cy="3769995"/>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Technologies to be used:</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101600</wp:posOffset>
                </wp:positionV>
                <wp:extent cx="5910580" cy="2531745"/>
                <wp:effectExtent b="0" l="0" r="0" t="0"/>
                <wp:wrapNone/>
                <wp:docPr id="4" name=""/>
                <a:graphic>
                  <a:graphicData uri="http://schemas.microsoft.com/office/word/2010/wordprocessingShape">
                    <wps:wsp>
                      <wps:cNvSpPr/>
                      <wps:cNvPr id="4" name="Shape 4"/>
                      <wps:spPr>
                        <a:xfrm>
                          <a:off x="2395473" y="2518890"/>
                          <a:ext cx="5901055" cy="2522220"/>
                        </a:xfrm>
                        <a:prstGeom prst="rect">
                          <a:avLst/>
                        </a:prstGeom>
                        <a:solidFill>
                          <a:srgbClr val="FFFFFF"/>
                        </a:solidFill>
                        <a:ln cap="flat" cmpd="sng" w="9525">
                          <a:solidFill>
                            <a:srgbClr val="538CD5"/>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Python 2.7</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Keras, Tensorflow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Github, Mercury</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101600</wp:posOffset>
                </wp:positionV>
                <wp:extent cx="5910580" cy="2531745"/>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5910580" cy="2531745"/>
                        </a:xfrm>
                        <a:prstGeom prst="rect"/>
                        <a:ln/>
                      </pic:spPr>
                    </pic:pic>
                  </a:graphicData>
                </a:graphic>
              </wp:anchor>
            </w:drawing>
          </mc:Fallback>
        </mc:AlternateConten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Members:</w:t>
      </w:r>
    </w:p>
    <w:tbl>
      <w:tblPr>
        <w:tblStyle w:val="Table2"/>
        <w:tblW w:w="8730.0" w:type="dxa"/>
        <w:jc w:val="left"/>
        <w:tblInd w:w="108.0" w:type="pct"/>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A0"/>
      </w:tblPr>
      <w:tblGrid>
        <w:gridCol w:w="5580"/>
        <w:gridCol w:w="3150"/>
        <w:tblGridChange w:id="0">
          <w:tblGrid>
            <w:gridCol w:w="5580"/>
            <w:gridCol w:w="3150"/>
          </w:tblGrid>
        </w:tblGridChange>
      </w:tblGrid>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r>
      <w:tr>
        <w:trPr>
          <w:trHeight w:val="540" w:hRule="atLeast"/>
        </w:trPr>
        <w:tc>
          <w:tcPr>
            <w:tcBorders>
              <w:left w:color="000000" w:space="0" w:sz="0" w:val="nil"/>
              <w:right w:color="000000" w:space="0" w:sz="0" w:val="nil"/>
            </w:tcBorders>
            <w:shd w:fill="ffffff" w:val="clear"/>
          </w:tcPr>
          <w:p w:rsidR="00000000" w:rsidDel="00000000" w:rsidP="00000000" w:rsidRDefault="00000000" w:rsidRPr="00000000">
            <w:pPr>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 A. J. Niroshan</w:t>
            </w:r>
          </w:p>
        </w:tc>
        <w:tc>
          <w:tcPr>
            <w:tcBorders>
              <w:left w:color="000000" w:space="0" w:sz="0" w:val="nil"/>
              <w:right w:color="000000" w:space="0" w:sz="0" w:val="nil"/>
            </w:tcBorders>
            <w:shd w:fill="ffffff" w:val="cle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IT14085918</w:t>
            </w:r>
          </w:p>
        </w:tc>
      </w:tr>
      <w:tr>
        <w:trPr>
          <w:trHeight w:val="540" w:hRule="atLeast"/>
        </w:trPr>
        <w:tc>
          <w:tcPr>
            <w:shd w:fill="ffffff" w:val="clear"/>
          </w:tcPr>
          <w:p w:rsidR="00000000" w:rsidDel="00000000" w:rsidP="00000000" w:rsidRDefault="00000000" w:rsidRPr="00000000">
            <w:pPr>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Liyanage S.C.G</w:t>
            </w:r>
          </w:p>
        </w:tc>
        <w:tc>
          <w:tcPr>
            <w:shd w:fill="ffffff" w:val="cle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IT14098888</w:t>
            </w:r>
          </w:p>
        </w:tc>
      </w:tr>
      <w:tr>
        <w:trPr>
          <w:trHeight w:val="540" w:hRule="atLeast"/>
        </w:trPr>
        <w:tc>
          <w:tcPr>
            <w:tcBorders>
              <w:left w:color="000000" w:space="0" w:sz="0" w:val="nil"/>
              <w:right w:color="000000" w:space="0" w:sz="0" w:val="nil"/>
            </w:tcBorders>
            <w:shd w:fill="ffffff" w:val="clear"/>
          </w:tcPr>
          <w:p w:rsidR="00000000" w:rsidDel="00000000" w:rsidP="00000000" w:rsidRDefault="00000000" w:rsidRPr="00000000">
            <w:pPr>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M.A.S.H. Kularathna</w:t>
            </w:r>
          </w:p>
        </w:tc>
        <w:tc>
          <w:tcPr>
            <w:tcBorders>
              <w:left w:color="000000" w:space="0" w:sz="0" w:val="nil"/>
              <w:right w:color="000000" w:space="0" w:sz="0" w:val="nil"/>
            </w:tcBorders>
            <w:shd w:fill="ffffff" w:val="cle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IT15143914</w:t>
            </w:r>
          </w:p>
        </w:tc>
      </w:tr>
      <w:tr>
        <w:trPr>
          <w:trHeight w:val="540" w:hRule="atLeast"/>
        </w:trPr>
        <w:tc>
          <w:tcPr/>
          <w:p w:rsidR="00000000" w:rsidDel="00000000" w:rsidP="00000000" w:rsidRDefault="00000000" w:rsidRPr="00000000">
            <w:pPr>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K.A.H. Kodithuwakku</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IT15564078</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For official use only</w:t>
      </w:r>
    </w:p>
    <w:p w:rsidR="00000000" w:rsidDel="00000000" w:rsidP="00000000" w:rsidRDefault="00000000" w:rsidRPr="00000000">
      <w:pPr>
        <w:spacing w:after="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Acceptable:</w:t>
        <w:tab/>
        <w:t xml:space="preserve">YES/NO</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proposed:  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Comments:  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 CDAP Group: </w:t>
      </w:r>
    </w:p>
    <w:tbl>
      <w:tblPr>
        <w:tblStyle w:val="Table3"/>
        <w:tblW w:w="9017.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509"/>
        <w:gridCol w:w="4508"/>
        <w:tblGridChange w:id="0">
          <w:tblGrid>
            <w:gridCol w:w="4509"/>
            <w:gridCol w:w="4508"/>
          </w:tblGrid>
        </w:tblGridChange>
      </w:tblGrid>
      <w:tr>
        <w:trPr>
          <w:trHeight w:val="420" w:hRule="atLeast"/>
        </w:trPr>
        <w:tc>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Name</w:t>
            </w:r>
          </w:p>
        </w:tc>
        <w:tc>
          <w:tcPr/>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trHeight w:val="420" w:hRule="atLeast"/>
        </w:trP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rPr>
          <w:trHeight w:val="420" w:hRule="atLeast"/>
        </w:trP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8460"/>
      </w:tabs>
      <w:ind w:right="-270"/>
      <w:contextualSpacing w:val="0"/>
      <w:rPr>
        <w:rFonts w:ascii="Corsiva" w:cs="Corsiva" w:eastAsia="Corsiva" w:hAnsi="Corsiva"/>
        <w:color w:val="808080"/>
      </w:rPr>
    </w:pPr>
    <w:r w:rsidDel="00000000" w:rsidR="00000000" w:rsidRPr="00000000">
      <w:rPr>
        <w:rFonts w:ascii="Corsiva" w:cs="Corsiva" w:eastAsia="Corsiva" w:hAnsi="Corsiva"/>
        <w:color w:val="808080"/>
        <w:rtl w:val="0"/>
      </w:rPr>
      <w:t xml:space="preserve">Project Topic Assessment-Final Year Project-2017                                                                              </w:t>
      <w:tab/>
    </w:r>
    <w:r w:rsidDel="00000000" w:rsidR="00000000" w:rsidRPr="00000000">
      <w:rPr>
        <w:rFonts w:ascii="Calibri" w:cs="Calibri" w:eastAsia="Calibri" w:hAnsi="Calibri"/>
        <w:color w:val="808080"/>
        <w:rtl w:val="0"/>
      </w:rPr>
      <w:t xml:space="preserve">CDAP-01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rPr>
        <w:b w:val="1"/>
      </w:r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Pr>
    </w:tblStylePr>
  </w:style>
  <w:style w:type="table" w:styleId="Table3">
    <w:basedOn w:val="TableNormal"/>
    <w:pPr>
      <w:spacing w:after="0" w:line="240" w:lineRule="auto"/>
    </w:pPr>
    <w:rPr>
      <w:color w:val="366091"/>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