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2C288" w14:textId="77777777" w:rsidR="00E523D8" w:rsidRDefault="00000000">
      <w:pPr>
        <w:spacing w:before="1800"/>
        <w:jc w:val="center"/>
        <w:rPr>
          <w:b/>
          <w:sz w:val="36"/>
          <w:szCs w:val="36"/>
        </w:rPr>
      </w:pPr>
      <w:r w:rsidRPr="00DD70B6">
        <w:rPr>
          <w:b/>
          <w:sz w:val="36"/>
          <w:szCs w:val="36"/>
        </w:rPr>
        <w:t xml:space="preserve"> </w:t>
      </w:r>
    </w:p>
    <w:p w14:paraId="325A5BBC" w14:textId="7B4915B5" w:rsidR="0012529F" w:rsidRPr="00DD70B6" w:rsidRDefault="00000000">
      <w:pPr>
        <w:spacing w:before="1800"/>
        <w:jc w:val="center"/>
        <w:rPr>
          <w:sz w:val="36"/>
          <w:szCs w:val="36"/>
        </w:rPr>
      </w:pPr>
      <w:r w:rsidRPr="00DD70B6">
        <w:rPr>
          <w:b/>
          <w:sz w:val="36"/>
          <w:szCs w:val="36"/>
        </w:rPr>
        <w:t>PROJECT REPORT</w:t>
      </w:r>
    </w:p>
    <w:p w14:paraId="7C47464C" w14:textId="77777777" w:rsidR="00DD70B6" w:rsidRDefault="00DD70B6">
      <w:pPr>
        <w:jc w:val="center"/>
        <w:rPr>
          <w:b/>
          <w:color w:val="1F497D" w:themeColor="text2"/>
          <w:sz w:val="36"/>
          <w:szCs w:val="36"/>
        </w:rPr>
      </w:pPr>
    </w:p>
    <w:p w14:paraId="4F7E1091" w14:textId="2170B7C8" w:rsidR="0012529F" w:rsidRPr="00E523D8" w:rsidRDefault="00000000">
      <w:pPr>
        <w:jc w:val="center"/>
        <w:rPr>
          <w:color w:val="1F497D" w:themeColor="text2"/>
          <w:sz w:val="40"/>
          <w:szCs w:val="40"/>
        </w:rPr>
      </w:pPr>
      <w:r w:rsidRPr="00E523D8">
        <w:rPr>
          <w:b/>
          <w:color w:val="1F497D" w:themeColor="text2"/>
          <w:sz w:val="40"/>
          <w:szCs w:val="40"/>
        </w:rPr>
        <w:t>Customer Churn Analysis</w:t>
      </w:r>
    </w:p>
    <w:p w14:paraId="324E5947" w14:textId="77777777" w:rsidR="0012529F" w:rsidRPr="00E523D8" w:rsidRDefault="00000000">
      <w:pPr>
        <w:jc w:val="center"/>
        <w:rPr>
          <w:color w:val="1F497D" w:themeColor="text2"/>
          <w:sz w:val="32"/>
          <w:szCs w:val="32"/>
        </w:rPr>
      </w:pPr>
      <w:r w:rsidRPr="00E523D8">
        <w:rPr>
          <w:color w:val="1F497D" w:themeColor="text2"/>
          <w:sz w:val="32"/>
          <w:szCs w:val="32"/>
        </w:rPr>
        <w:t>Advanced Data Visualization and Storytelling with Python</w:t>
      </w:r>
    </w:p>
    <w:p w14:paraId="02C3C107" w14:textId="77777777" w:rsidR="0012529F" w:rsidRDefault="0012529F"/>
    <w:p w14:paraId="06211F63" w14:textId="77777777" w:rsidR="0012529F" w:rsidRDefault="0012529F"/>
    <w:p w14:paraId="3FBDC8B2" w14:textId="71371B3E" w:rsidR="0012529F" w:rsidRDefault="0012529F">
      <w:pPr>
        <w:jc w:val="center"/>
      </w:pPr>
    </w:p>
    <w:p w14:paraId="6EC92330" w14:textId="77777777" w:rsidR="0012529F" w:rsidRDefault="00000000">
      <w:r>
        <w:br w:type="page"/>
      </w:r>
    </w:p>
    <w:p w14:paraId="3557D010" w14:textId="77777777" w:rsidR="0012529F" w:rsidRDefault="00000000">
      <w:pPr>
        <w:pStyle w:val="Heading1"/>
        <w:spacing w:before="160" w:after="100"/>
      </w:pPr>
      <w:r>
        <w:lastRenderedPageBreak/>
        <w:t>Executive Summary</w:t>
      </w:r>
    </w:p>
    <w:p w14:paraId="04D5D7BF" w14:textId="6C72F526" w:rsidR="0012529F" w:rsidRDefault="00000000">
      <w:pPr>
        <w:spacing w:after="120" w:line="259" w:lineRule="auto"/>
      </w:pPr>
      <w:r>
        <w:t>This</w:t>
      </w:r>
      <w:r w:rsidR="00DD70B6">
        <w:t xml:space="preserve"> </w:t>
      </w:r>
      <w:r>
        <w:t>project focuses on advanced data visualization and storytelling using a customer churn dataset containing 10,000 customer records and 16 variables. The work extends the data-cleaning and exploratory-analysis foundation into a visual analysis workflow designed to communicate patterns clearly to a non-technical audience.</w:t>
      </w:r>
    </w:p>
    <w:p w14:paraId="1AC27D60" w14:textId="15A2FD1A" w:rsidR="0012529F" w:rsidRDefault="00000000">
      <w:pPr>
        <w:spacing w:after="120" w:line="259" w:lineRule="auto"/>
      </w:pPr>
      <w:r>
        <w:t>The analysis uses Python in Visual Studio Code, with Pandas and NumPy for data handling and calculations, and Matplotlib and Seaborn for visualization</w:t>
      </w:r>
      <w:r w:rsidR="00DD70B6">
        <w:t>.</w:t>
      </w:r>
      <w:r>
        <w:t xml:space="preserve"> </w:t>
      </w:r>
      <w:r w:rsidR="00DD70B6">
        <w:t>T</w:t>
      </w:r>
      <w:r>
        <w:t>he objective is to describe the existing data and compare churn rates across meaningful customer groups.</w:t>
      </w:r>
    </w:p>
    <w:p w14:paraId="32508E30" w14:textId="77777777" w:rsidR="0012529F" w:rsidRDefault="00000000">
      <w:pPr>
        <w:spacing w:after="120" w:line="259" w:lineRule="auto"/>
      </w:pPr>
      <w:r>
        <w:t>The overall churn rate is 22.60% (2,260 of 10,000 customers). Several visual comparisons show substantial differences between groups. Month-to-month customers have a 30.65% churn rate compared with 9.59% for two-year customers. Customers with 5 or more complaints have a 51.26% churn rate compared with 15.31% among customers with no complaints. Low-satisfaction customers show a 57.14% churn rate, while the 49+ month tenure group shows 10.84%. A combined view of month-to-month customers with 0–12 months of tenure reaches approximately 52.87%.</w:t>
      </w:r>
    </w:p>
    <w:p w14:paraId="576B97C2" w14:textId="77777777" w:rsidR="0012529F" w:rsidRDefault="00000000">
      <w:pPr>
        <w:spacing w:after="120" w:line="259" w:lineRule="auto"/>
      </w:pPr>
      <w:r>
        <w:t>These findings demonstrate how carefully selected charts and numerical annotations can turn a large customer table into a coherent visual story. The results are descriptive associations only and should not be interpreted as proof that any individual factor causes churn.</w:t>
      </w:r>
    </w:p>
    <w:p w14:paraId="55A9E2E3" w14:textId="77777777" w:rsidR="0012529F" w:rsidRDefault="00000000">
      <w:r>
        <w:br w:type="page"/>
      </w:r>
    </w:p>
    <w:p w14:paraId="71721081" w14:textId="77777777" w:rsidR="0012529F" w:rsidRDefault="00000000">
      <w:pPr>
        <w:pStyle w:val="Heading1"/>
        <w:spacing w:before="160" w:after="100"/>
      </w:pPr>
      <w:r>
        <w:lastRenderedPageBreak/>
        <w:t>1. Introduction</w:t>
      </w:r>
    </w:p>
    <w:p w14:paraId="3FF0103C" w14:textId="77777777" w:rsidR="0012529F" w:rsidRDefault="00000000">
      <w:pPr>
        <w:spacing w:after="120" w:line="259" w:lineRule="auto"/>
      </w:pPr>
      <w:r>
        <w:t>Customer churn refers to customers who stop using a service. A raw dataset can contain many columns and thousands of records, but tables alone can make it difficult to recognize meaningful patterns. Data visualization provides a way to transform these records into comparisons that are easier to interpret.</w:t>
      </w:r>
    </w:p>
    <w:p w14:paraId="77ABB2DF" w14:textId="77777777" w:rsidR="0012529F" w:rsidRDefault="00000000">
      <w:pPr>
        <w:spacing w:after="120" w:line="259" w:lineRule="auto"/>
      </w:pPr>
      <w:r>
        <w:t>This assignment focuses on the visualization and storytelling stage of a data-analysis workflow. After checking and cleaning the dataset, customer groups were created for variables such as tenure, complaints, support calls, monthly charges and last-login recency. Churn rates were then calculated for these groups and represented using charts.</w:t>
      </w:r>
    </w:p>
    <w:p w14:paraId="10FA167E" w14:textId="77777777" w:rsidR="0012529F" w:rsidRDefault="00000000">
      <w:pPr>
        <w:pStyle w:val="Heading2"/>
        <w:spacing w:before="160" w:after="100"/>
      </w:pPr>
      <w:r>
        <w:t>1.1 Objectives</w:t>
      </w:r>
    </w:p>
    <w:p w14:paraId="653D8E74" w14:textId="77777777" w:rsidR="0012529F" w:rsidRDefault="00000000">
      <w:pPr>
        <w:pStyle w:val="ListBullet"/>
        <w:spacing w:after="60"/>
      </w:pPr>
      <w:r>
        <w:t>Inspect and validate the customer churn dataset before visualization.</w:t>
      </w:r>
    </w:p>
    <w:p w14:paraId="058ED834" w14:textId="77777777" w:rsidR="0012529F" w:rsidRDefault="00000000">
      <w:pPr>
        <w:pStyle w:val="ListBullet"/>
        <w:spacing w:after="60"/>
      </w:pPr>
      <w:r>
        <w:t>Perform descriptive exploratory analysis using Python.</w:t>
      </w:r>
    </w:p>
    <w:p w14:paraId="5408F11F" w14:textId="77777777" w:rsidR="0012529F" w:rsidRDefault="00000000">
      <w:pPr>
        <w:pStyle w:val="ListBullet"/>
        <w:spacing w:after="60"/>
      </w:pPr>
      <w:r>
        <w:t>Create meaningful customer groups for visual comparison.</w:t>
      </w:r>
    </w:p>
    <w:p w14:paraId="76170EDF" w14:textId="77777777" w:rsidR="0012529F" w:rsidRDefault="00000000">
      <w:pPr>
        <w:pStyle w:val="ListBullet"/>
        <w:spacing w:after="60"/>
      </w:pPr>
      <w:r>
        <w:t>Calculate churn rates for important categorical and grouped numerical variables.</w:t>
      </w:r>
    </w:p>
    <w:p w14:paraId="6DA26E54" w14:textId="77777777" w:rsidR="0012529F" w:rsidRDefault="00000000">
      <w:pPr>
        <w:pStyle w:val="ListBullet"/>
        <w:spacing w:after="60"/>
      </w:pPr>
      <w:r>
        <w:t>Use Matplotlib and Seaborn to create clear and readable visualizations.</w:t>
      </w:r>
    </w:p>
    <w:p w14:paraId="0B6F8D52" w14:textId="77777777" w:rsidR="0012529F" w:rsidRDefault="00000000">
      <w:pPr>
        <w:pStyle w:val="ListBullet"/>
        <w:spacing w:after="60"/>
      </w:pPr>
      <w:r>
        <w:t>Add exact values and percentages where they strengthen interpretation.</w:t>
      </w:r>
    </w:p>
    <w:p w14:paraId="518D3F8E" w14:textId="77777777" w:rsidR="0012529F" w:rsidRDefault="00000000">
      <w:pPr>
        <w:pStyle w:val="ListBullet"/>
        <w:spacing w:after="60"/>
      </w:pPr>
      <w:r>
        <w:t>Combine variables to demonstrate more advanced visual storytelling.</w:t>
      </w:r>
    </w:p>
    <w:p w14:paraId="32CC1057" w14:textId="77777777" w:rsidR="0012529F" w:rsidRDefault="00000000">
      <w:pPr>
        <w:pStyle w:val="ListBullet"/>
        <w:spacing w:after="60"/>
      </w:pPr>
      <w:r>
        <w:t>Explain findings using evidence from the charts rather than unsupported assumptions.</w:t>
      </w:r>
    </w:p>
    <w:p w14:paraId="599BA6B5" w14:textId="77777777" w:rsidR="0012529F" w:rsidRDefault="00000000">
      <w:pPr>
        <w:pStyle w:val="ListBullet"/>
        <w:spacing w:after="60"/>
      </w:pPr>
      <w:r>
        <w:t>Document limitations of descriptive visual analysis.</w:t>
      </w:r>
    </w:p>
    <w:p w14:paraId="43574412" w14:textId="77777777" w:rsidR="0012529F" w:rsidRDefault="00000000">
      <w:pPr>
        <w:pStyle w:val="Heading2"/>
        <w:spacing w:before="160" w:after="100"/>
      </w:pPr>
      <w:r>
        <w:t>1.2 Scope</w:t>
      </w:r>
    </w:p>
    <w:p w14:paraId="05DB49F9" w14:textId="77777777" w:rsidR="0012529F" w:rsidRDefault="00000000">
      <w:pPr>
        <w:spacing w:after="120" w:line="259" w:lineRule="auto"/>
      </w:pPr>
      <w:r>
        <w:t>The scope is limited to data cleaning, exploratory analysis, visualization and storytelling. No machine-learning model, prediction, risk classification, forecasting or automated business recommendation is included in this Week 2 work.</w:t>
      </w:r>
    </w:p>
    <w:p w14:paraId="48B18A5B" w14:textId="77777777" w:rsidR="0012529F" w:rsidRDefault="00000000">
      <w:r>
        <w:br w:type="page"/>
      </w:r>
    </w:p>
    <w:p w14:paraId="5E15A80A" w14:textId="77777777" w:rsidR="0012529F" w:rsidRDefault="00000000">
      <w:pPr>
        <w:pStyle w:val="Heading1"/>
        <w:spacing w:before="160" w:after="100"/>
      </w:pPr>
      <w:r>
        <w:lastRenderedPageBreak/>
        <w:t>2. Dataset Description</w:t>
      </w:r>
    </w:p>
    <w:p w14:paraId="7FDC5F72" w14:textId="77777777" w:rsidR="0012529F" w:rsidRDefault="00000000">
      <w:pPr>
        <w:spacing w:after="120" w:line="259" w:lineRule="auto"/>
      </w:pPr>
      <w:r>
        <w:t>The dataset contains 10,000 customer records and 16 columns. It includes demographic information, service characteristics, billing-related measures, customer-support indicators, engagement measures, satisfaction and churn status.</w:t>
      </w:r>
    </w:p>
    <w:tbl>
      <w:tblPr>
        <w:tblStyle w:val="TableGrid"/>
        <w:tblW w:w="0" w:type="auto"/>
        <w:jc w:val="center"/>
        <w:tblLook w:val="04A0" w:firstRow="1" w:lastRow="0" w:firstColumn="1" w:lastColumn="0" w:noHBand="0" w:noVBand="1"/>
      </w:tblPr>
      <w:tblGrid>
        <w:gridCol w:w="5040"/>
        <w:gridCol w:w="5040"/>
      </w:tblGrid>
      <w:tr w:rsidR="0012529F" w14:paraId="2B53155C" w14:textId="77777777">
        <w:trPr>
          <w:jc w:val="center"/>
        </w:trPr>
        <w:tc>
          <w:tcPr>
            <w:tcW w:w="5040" w:type="dxa"/>
            <w:vAlign w:val="center"/>
          </w:tcPr>
          <w:p w14:paraId="4446941F" w14:textId="77777777" w:rsidR="0012529F" w:rsidRDefault="00000000">
            <w:pPr>
              <w:jc w:val="center"/>
            </w:pPr>
            <w:r>
              <w:rPr>
                <w:b/>
              </w:rPr>
              <w:t>Variable</w:t>
            </w:r>
          </w:p>
        </w:tc>
        <w:tc>
          <w:tcPr>
            <w:tcW w:w="5040" w:type="dxa"/>
            <w:vAlign w:val="center"/>
          </w:tcPr>
          <w:p w14:paraId="62AD3EE7" w14:textId="77777777" w:rsidR="0012529F" w:rsidRDefault="00000000">
            <w:pPr>
              <w:jc w:val="center"/>
            </w:pPr>
            <w:r>
              <w:rPr>
                <w:b/>
              </w:rPr>
              <w:t>Description</w:t>
            </w:r>
          </w:p>
        </w:tc>
      </w:tr>
      <w:tr w:rsidR="0012529F" w14:paraId="52D87043" w14:textId="77777777">
        <w:trPr>
          <w:jc w:val="center"/>
        </w:trPr>
        <w:tc>
          <w:tcPr>
            <w:tcW w:w="5040" w:type="dxa"/>
            <w:vAlign w:val="center"/>
          </w:tcPr>
          <w:p w14:paraId="2D67446A" w14:textId="77777777" w:rsidR="0012529F" w:rsidRDefault="00000000">
            <w:pPr>
              <w:jc w:val="center"/>
            </w:pPr>
            <w:proofErr w:type="spellStart"/>
            <w:r>
              <w:t>Customer_ID</w:t>
            </w:r>
            <w:proofErr w:type="spellEnd"/>
          </w:p>
        </w:tc>
        <w:tc>
          <w:tcPr>
            <w:tcW w:w="5040" w:type="dxa"/>
            <w:vAlign w:val="center"/>
          </w:tcPr>
          <w:p w14:paraId="6DB84FC0" w14:textId="77777777" w:rsidR="0012529F" w:rsidRDefault="00000000">
            <w:pPr>
              <w:jc w:val="center"/>
            </w:pPr>
            <w:r>
              <w:t>Unique customer identifier</w:t>
            </w:r>
          </w:p>
        </w:tc>
      </w:tr>
      <w:tr w:rsidR="0012529F" w14:paraId="23B44ABD" w14:textId="77777777">
        <w:trPr>
          <w:jc w:val="center"/>
        </w:trPr>
        <w:tc>
          <w:tcPr>
            <w:tcW w:w="5040" w:type="dxa"/>
            <w:vAlign w:val="center"/>
          </w:tcPr>
          <w:p w14:paraId="54578963" w14:textId="77777777" w:rsidR="0012529F" w:rsidRDefault="00000000">
            <w:pPr>
              <w:jc w:val="center"/>
            </w:pPr>
            <w:r>
              <w:t>Gender</w:t>
            </w:r>
          </w:p>
        </w:tc>
        <w:tc>
          <w:tcPr>
            <w:tcW w:w="5040" w:type="dxa"/>
            <w:vAlign w:val="center"/>
          </w:tcPr>
          <w:p w14:paraId="3D3E8D02" w14:textId="77777777" w:rsidR="0012529F" w:rsidRDefault="00000000">
            <w:pPr>
              <w:jc w:val="center"/>
            </w:pPr>
            <w:r>
              <w:t>Customer gender category</w:t>
            </w:r>
          </w:p>
        </w:tc>
      </w:tr>
      <w:tr w:rsidR="0012529F" w14:paraId="6F004910" w14:textId="77777777">
        <w:trPr>
          <w:jc w:val="center"/>
        </w:trPr>
        <w:tc>
          <w:tcPr>
            <w:tcW w:w="5040" w:type="dxa"/>
            <w:vAlign w:val="center"/>
          </w:tcPr>
          <w:p w14:paraId="56A3F34D" w14:textId="77777777" w:rsidR="0012529F" w:rsidRDefault="00000000">
            <w:pPr>
              <w:jc w:val="center"/>
            </w:pPr>
            <w:r>
              <w:t>Age</w:t>
            </w:r>
          </w:p>
        </w:tc>
        <w:tc>
          <w:tcPr>
            <w:tcW w:w="5040" w:type="dxa"/>
            <w:vAlign w:val="center"/>
          </w:tcPr>
          <w:p w14:paraId="6AB9A51D" w14:textId="77777777" w:rsidR="0012529F" w:rsidRDefault="00000000">
            <w:pPr>
              <w:jc w:val="center"/>
            </w:pPr>
            <w:r>
              <w:t>Customer age</w:t>
            </w:r>
          </w:p>
        </w:tc>
      </w:tr>
      <w:tr w:rsidR="0012529F" w14:paraId="3FE5626A" w14:textId="77777777">
        <w:trPr>
          <w:jc w:val="center"/>
        </w:trPr>
        <w:tc>
          <w:tcPr>
            <w:tcW w:w="5040" w:type="dxa"/>
            <w:vAlign w:val="center"/>
          </w:tcPr>
          <w:p w14:paraId="78FFCA7E" w14:textId="77777777" w:rsidR="0012529F" w:rsidRDefault="00000000">
            <w:pPr>
              <w:jc w:val="center"/>
            </w:pPr>
            <w:proofErr w:type="spellStart"/>
            <w:r>
              <w:t>Tenure_Months</w:t>
            </w:r>
            <w:proofErr w:type="spellEnd"/>
          </w:p>
        </w:tc>
        <w:tc>
          <w:tcPr>
            <w:tcW w:w="5040" w:type="dxa"/>
            <w:vAlign w:val="center"/>
          </w:tcPr>
          <w:p w14:paraId="08084255" w14:textId="77777777" w:rsidR="0012529F" w:rsidRDefault="00000000">
            <w:pPr>
              <w:jc w:val="center"/>
            </w:pPr>
            <w:r>
              <w:t>Length of customer relationship in months</w:t>
            </w:r>
          </w:p>
        </w:tc>
      </w:tr>
      <w:tr w:rsidR="0012529F" w14:paraId="602731E2" w14:textId="77777777">
        <w:trPr>
          <w:jc w:val="center"/>
        </w:trPr>
        <w:tc>
          <w:tcPr>
            <w:tcW w:w="5040" w:type="dxa"/>
            <w:vAlign w:val="center"/>
          </w:tcPr>
          <w:p w14:paraId="5DFD4470" w14:textId="77777777" w:rsidR="0012529F" w:rsidRDefault="00000000">
            <w:pPr>
              <w:jc w:val="center"/>
            </w:pPr>
            <w:proofErr w:type="spellStart"/>
            <w:r>
              <w:t>Contract_Type</w:t>
            </w:r>
            <w:proofErr w:type="spellEnd"/>
          </w:p>
        </w:tc>
        <w:tc>
          <w:tcPr>
            <w:tcW w:w="5040" w:type="dxa"/>
            <w:vAlign w:val="center"/>
          </w:tcPr>
          <w:p w14:paraId="583764E9" w14:textId="77777777" w:rsidR="0012529F" w:rsidRDefault="00000000">
            <w:pPr>
              <w:jc w:val="center"/>
            </w:pPr>
            <w:r>
              <w:t>Month-to-month, one-year or two-year contract</w:t>
            </w:r>
          </w:p>
        </w:tc>
      </w:tr>
      <w:tr w:rsidR="0012529F" w14:paraId="1E53CAC3" w14:textId="77777777">
        <w:trPr>
          <w:jc w:val="center"/>
        </w:trPr>
        <w:tc>
          <w:tcPr>
            <w:tcW w:w="5040" w:type="dxa"/>
            <w:vAlign w:val="center"/>
          </w:tcPr>
          <w:p w14:paraId="5AB192E0" w14:textId="77777777" w:rsidR="0012529F" w:rsidRDefault="00000000">
            <w:pPr>
              <w:jc w:val="center"/>
            </w:pPr>
            <w:proofErr w:type="spellStart"/>
            <w:r>
              <w:t>Payment_Method</w:t>
            </w:r>
            <w:proofErr w:type="spellEnd"/>
          </w:p>
        </w:tc>
        <w:tc>
          <w:tcPr>
            <w:tcW w:w="5040" w:type="dxa"/>
            <w:vAlign w:val="center"/>
          </w:tcPr>
          <w:p w14:paraId="695C8B2A" w14:textId="77777777" w:rsidR="0012529F" w:rsidRDefault="00000000">
            <w:pPr>
              <w:jc w:val="center"/>
            </w:pPr>
            <w:r>
              <w:t>Customer payment method</w:t>
            </w:r>
          </w:p>
        </w:tc>
      </w:tr>
      <w:tr w:rsidR="0012529F" w14:paraId="586FA0B7" w14:textId="77777777">
        <w:trPr>
          <w:jc w:val="center"/>
        </w:trPr>
        <w:tc>
          <w:tcPr>
            <w:tcW w:w="5040" w:type="dxa"/>
            <w:vAlign w:val="center"/>
          </w:tcPr>
          <w:p w14:paraId="0F966206" w14:textId="77777777" w:rsidR="0012529F" w:rsidRDefault="00000000">
            <w:pPr>
              <w:jc w:val="center"/>
            </w:pPr>
            <w:proofErr w:type="spellStart"/>
            <w:r>
              <w:t>Monthly_Charges</w:t>
            </w:r>
            <w:proofErr w:type="spellEnd"/>
          </w:p>
        </w:tc>
        <w:tc>
          <w:tcPr>
            <w:tcW w:w="5040" w:type="dxa"/>
            <w:vAlign w:val="center"/>
          </w:tcPr>
          <w:p w14:paraId="173B4916" w14:textId="77777777" w:rsidR="0012529F" w:rsidRDefault="00000000">
            <w:pPr>
              <w:jc w:val="center"/>
            </w:pPr>
            <w:r>
              <w:t>Monthly customer charge</w:t>
            </w:r>
          </w:p>
        </w:tc>
      </w:tr>
      <w:tr w:rsidR="0012529F" w14:paraId="5A22AE63" w14:textId="77777777">
        <w:trPr>
          <w:jc w:val="center"/>
        </w:trPr>
        <w:tc>
          <w:tcPr>
            <w:tcW w:w="5040" w:type="dxa"/>
            <w:vAlign w:val="center"/>
          </w:tcPr>
          <w:p w14:paraId="4D757082" w14:textId="77777777" w:rsidR="0012529F" w:rsidRDefault="00000000">
            <w:pPr>
              <w:jc w:val="center"/>
            </w:pPr>
            <w:proofErr w:type="spellStart"/>
            <w:r>
              <w:t>Total_Charges</w:t>
            </w:r>
            <w:proofErr w:type="spellEnd"/>
          </w:p>
        </w:tc>
        <w:tc>
          <w:tcPr>
            <w:tcW w:w="5040" w:type="dxa"/>
            <w:vAlign w:val="center"/>
          </w:tcPr>
          <w:p w14:paraId="2D6A17E0" w14:textId="77777777" w:rsidR="0012529F" w:rsidRDefault="00000000">
            <w:pPr>
              <w:jc w:val="center"/>
            </w:pPr>
            <w:r>
              <w:t>Total accumulated charges</w:t>
            </w:r>
          </w:p>
        </w:tc>
      </w:tr>
      <w:tr w:rsidR="0012529F" w14:paraId="1E3F7246" w14:textId="77777777">
        <w:trPr>
          <w:jc w:val="center"/>
        </w:trPr>
        <w:tc>
          <w:tcPr>
            <w:tcW w:w="5040" w:type="dxa"/>
            <w:vAlign w:val="center"/>
          </w:tcPr>
          <w:p w14:paraId="7F88E6C6" w14:textId="77777777" w:rsidR="0012529F" w:rsidRDefault="00000000">
            <w:pPr>
              <w:jc w:val="center"/>
            </w:pPr>
            <w:proofErr w:type="spellStart"/>
            <w:r>
              <w:t>Internet_Service</w:t>
            </w:r>
            <w:proofErr w:type="spellEnd"/>
          </w:p>
        </w:tc>
        <w:tc>
          <w:tcPr>
            <w:tcW w:w="5040" w:type="dxa"/>
            <w:vAlign w:val="center"/>
          </w:tcPr>
          <w:p w14:paraId="420A3FD4" w14:textId="77777777" w:rsidR="0012529F" w:rsidRDefault="00000000">
            <w:pPr>
              <w:jc w:val="center"/>
            </w:pPr>
            <w:r>
              <w:t>Internet service category</w:t>
            </w:r>
          </w:p>
        </w:tc>
      </w:tr>
      <w:tr w:rsidR="0012529F" w14:paraId="285DB2B5" w14:textId="77777777">
        <w:trPr>
          <w:jc w:val="center"/>
        </w:trPr>
        <w:tc>
          <w:tcPr>
            <w:tcW w:w="5040" w:type="dxa"/>
            <w:vAlign w:val="center"/>
          </w:tcPr>
          <w:p w14:paraId="030F9B22" w14:textId="77777777" w:rsidR="0012529F" w:rsidRDefault="00000000">
            <w:pPr>
              <w:jc w:val="center"/>
            </w:pPr>
            <w:proofErr w:type="spellStart"/>
            <w:r>
              <w:t>Tech_Support</w:t>
            </w:r>
            <w:proofErr w:type="spellEnd"/>
          </w:p>
        </w:tc>
        <w:tc>
          <w:tcPr>
            <w:tcW w:w="5040" w:type="dxa"/>
            <w:vAlign w:val="center"/>
          </w:tcPr>
          <w:p w14:paraId="08BF2792" w14:textId="77777777" w:rsidR="0012529F" w:rsidRDefault="00000000">
            <w:pPr>
              <w:jc w:val="center"/>
            </w:pPr>
            <w:r>
              <w:t>Technology support status</w:t>
            </w:r>
          </w:p>
        </w:tc>
      </w:tr>
      <w:tr w:rsidR="0012529F" w14:paraId="641C11AF" w14:textId="77777777">
        <w:trPr>
          <w:jc w:val="center"/>
        </w:trPr>
        <w:tc>
          <w:tcPr>
            <w:tcW w:w="5040" w:type="dxa"/>
            <w:vAlign w:val="center"/>
          </w:tcPr>
          <w:p w14:paraId="2D9D89BC" w14:textId="77777777" w:rsidR="0012529F" w:rsidRDefault="00000000">
            <w:pPr>
              <w:jc w:val="center"/>
            </w:pPr>
            <w:proofErr w:type="spellStart"/>
            <w:r>
              <w:t>Streaming_Service</w:t>
            </w:r>
            <w:proofErr w:type="spellEnd"/>
          </w:p>
        </w:tc>
        <w:tc>
          <w:tcPr>
            <w:tcW w:w="5040" w:type="dxa"/>
            <w:vAlign w:val="center"/>
          </w:tcPr>
          <w:p w14:paraId="0FB9C089" w14:textId="77777777" w:rsidR="0012529F" w:rsidRDefault="00000000">
            <w:pPr>
              <w:jc w:val="center"/>
            </w:pPr>
            <w:r>
              <w:t>Streaming service status</w:t>
            </w:r>
          </w:p>
        </w:tc>
      </w:tr>
      <w:tr w:rsidR="0012529F" w14:paraId="4BB5C0A0" w14:textId="77777777">
        <w:trPr>
          <w:jc w:val="center"/>
        </w:trPr>
        <w:tc>
          <w:tcPr>
            <w:tcW w:w="5040" w:type="dxa"/>
            <w:vAlign w:val="center"/>
          </w:tcPr>
          <w:p w14:paraId="23DF5AD4" w14:textId="77777777" w:rsidR="0012529F" w:rsidRDefault="00000000">
            <w:pPr>
              <w:jc w:val="center"/>
            </w:pPr>
            <w:proofErr w:type="spellStart"/>
            <w:r>
              <w:t>Number_of_Complaints</w:t>
            </w:r>
            <w:proofErr w:type="spellEnd"/>
          </w:p>
        </w:tc>
        <w:tc>
          <w:tcPr>
            <w:tcW w:w="5040" w:type="dxa"/>
            <w:vAlign w:val="center"/>
          </w:tcPr>
          <w:p w14:paraId="4AAC368E" w14:textId="77777777" w:rsidR="0012529F" w:rsidRDefault="00000000">
            <w:pPr>
              <w:jc w:val="center"/>
            </w:pPr>
            <w:r>
              <w:t>Number of recorded complaints</w:t>
            </w:r>
          </w:p>
        </w:tc>
      </w:tr>
      <w:tr w:rsidR="0012529F" w14:paraId="65E323F9" w14:textId="77777777">
        <w:trPr>
          <w:jc w:val="center"/>
        </w:trPr>
        <w:tc>
          <w:tcPr>
            <w:tcW w:w="5040" w:type="dxa"/>
            <w:vAlign w:val="center"/>
          </w:tcPr>
          <w:p w14:paraId="16AB8834" w14:textId="77777777" w:rsidR="0012529F" w:rsidRDefault="00000000">
            <w:pPr>
              <w:jc w:val="center"/>
            </w:pPr>
            <w:proofErr w:type="spellStart"/>
            <w:r>
              <w:t>Support_Calls</w:t>
            </w:r>
            <w:proofErr w:type="spellEnd"/>
          </w:p>
        </w:tc>
        <w:tc>
          <w:tcPr>
            <w:tcW w:w="5040" w:type="dxa"/>
            <w:vAlign w:val="center"/>
          </w:tcPr>
          <w:p w14:paraId="4D94F0B5" w14:textId="77777777" w:rsidR="0012529F" w:rsidRDefault="00000000">
            <w:pPr>
              <w:jc w:val="center"/>
            </w:pPr>
            <w:r>
              <w:t>Number of support calls</w:t>
            </w:r>
          </w:p>
        </w:tc>
      </w:tr>
      <w:tr w:rsidR="0012529F" w14:paraId="3D084C5D" w14:textId="77777777">
        <w:trPr>
          <w:jc w:val="center"/>
        </w:trPr>
        <w:tc>
          <w:tcPr>
            <w:tcW w:w="5040" w:type="dxa"/>
            <w:vAlign w:val="center"/>
          </w:tcPr>
          <w:p w14:paraId="55E7E797" w14:textId="77777777" w:rsidR="0012529F" w:rsidRDefault="00000000">
            <w:pPr>
              <w:jc w:val="center"/>
            </w:pPr>
            <w:proofErr w:type="spellStart"/>
            <w:r>
              <w:t>Last_Login_Days</w:t>
            </w:r>
            <w:proofErr w:type="spellEnd"/>
          </w:p>
        </w:tc>
        <w:tc>
          <w:tcPr>
            <w:tcW w:w="5040" w:type="dxa"/>
            <w:vAlign w:val="center"/>
          </w:tcPr>
          <w:p w14:paraId="3CAC676B" w14:textId="77777777" w:rsidR="0012529F" w:rsidRDefault="00000000">
            <w:pPr>
              <w:jc w:val="center"/>
            </w:pPr>
            <w:r>
              <w:t>Days since the customer's last login</w:t>
            </w:r>
          </w:p>
        </w:tc>
      </w:tr>
      <w:tr w:rsidR="0012529F" w14:paraId="5DB14C82" w14:textId="77777777">
        <w:trPr>
          <w:jc w:val="center"/>
        </w:trPr>
        <w:tc>
          <w:tcPr>
            <w:tcW w:w="5040" w:type="dxa"/>
            <w:vAlign w:val="center"/>
          </w:tcPr>
          <w:p w14:paraId="0266531F" w14:textId="77777777" w:rsidR="0012529F" w:rsidRDefault="00000000">
            <w:pPr>
              <w:jc w:val="center"/>
            </w:pPr>
            <w:proofErr w:type="spellStart"/>
            <w:r>
              <w:t>Satisfaction_Score</w:t>
            </w:r>
            <w:proofErr w:type="spellEnd"/>
          </w:p>
        </w:tc>
        <w:tc>
          <w:tcPr>
            <w:tcW w:w="5040" w:type="dxa"/>
            <w:vAlign w:val="center"/>
          </w:tcPr>
          <w:p w14:paraId="2A8F7CBE" w14:textId="77777777" w:rsidR="0012529F" w:rsidRDefault="00000000">
            <w:pPr>
              <w:jc w:val="center"/>
            </w:pPr>
            <w:r>
              <w:t>Customer satisfaction score</w:t>
            </w:r>
          </w:p>
        </w:tc>
      </w:tr>
      <w:tr w:rsidR="0012529F" w14:paraId="5F4FF8BF" w14:textId="77777777">
        <w:trPr>
          <w:jc w:val="center"/>
        </w:trPr>
        <w:tc>
          <w:tcPr>
            <w:tcW w:w="5040" w:type="dxa"/>
            <w:vAlign w:val="center"/>
          </w:tcPr>
          <w:p w14:paraId="75D0ECA4" w14:textId="77777777" w:rsidR="0012529F" w:rsidRDefault="00000000">
            <w:pPr>
              <w:jc w:val="center"/>
            </w:pPr>
            <w:r>
              <w:t>Churn</w:t>
            </w:r>
          </w:p>
        </w:tc>
        <w:tc>
          <w:tcPr>
            <w:tcW w:w="5040" w:type="dxa"/>
            <w:vAlign w:val="center"/>
          </w:tcPr>
          <w:p w14:paraId="6B13527A" w14:textId="77777777" w:rsidR="0012529F" w:rsidRDefault="00000000">
            <w:pPr>
              <w:jc w:val="center"/>
            </w:pPr>
            <w:r>
              <w:t>Churn status used for descriptive comparisons</w:t>
            </w:r>
          </w:p>
        </w:tc>
      </w:tr>
    </w:tbl>
    <w:p w14:paraId="1A069CEB" w14:textId="77777777" w:rsidR="0012529F" w:rsidRDefault="0012529F"/>
    <w:p w14:paraId="0ABE9B92" w14:textId="77777777" w:rsidR="0012529F" w:rsidRDefault="00000000">
      <w:pPr>
        <w:pStyle w:val="Heading2"/>
        <w:spacing w:before="160" w:after="100"/>
      </w:pPr>
      <w:r>
        <w:t>2.1 Dataset Summary</w:t>
      </w:r>
    </w:p>
    <w:tbl>
      <w:tblPr>
        <w:tblStyle w:val="TableGrid"/>
        <w:tblW w:w="0" w:type="auto"/>
        <w:jc w:val="center"/>
        <w:tblLook w:val="04A0" w:firstRow="1" w:lastRow="0" w:firstColumn="1" w:lastColumn="0" w:noHBand="0" w:noVBand="1"/>
      </w:tblPr>
      <w:tblGrid>
        <w:gridCol w:w="5040"/>
        <w:gridCol w:w="5040"/>
      </w:tblGrid>
      <w:tr w:rsidR="0012529F" w14:paraId="4262729D" w14:textId="77777777">
        <w:trPr>
          <w:jc w:val="center"/>
        </w:trPr>
        <w:tc>
          <w:tcPr>
            <w:tcW w:w="5040" w:type="dxa"/>
            <w:vAlign w:val="center"/>
          </w:tcPr>
          <w:p w14:paraId="4D62EC5B" w14:textId="77777777" w:rsidR="0012529F" w:rsidRDefault="00000000">
            <w:pPr>
              <w:jc w:val="center"/>
            </w:pPr>
            <w:r>
              <w:rPr>
                <w:b/>
              </w:rPr>
              <w:t>Metric</w:t>
            </w:r>
          </w:p>
        </w:tc>
        <w:tc>
          <w:tcPr>
            <w:tcW w:w="5040" w:type="dxa"/>
            <w:vAlign w:val="center"/>
          </w:tcPr>
          <w:p w14:paraId="6712415D" w14:textId="77777777" w:rsidR="0012529F" w:rsidRDefault="00000000">
            <w:pPr>
              <w:jc w:val="center"/>
            </w:pPr>
            <w:r>
              <w:rPr>
                <w:b/>
              </w:rPr>
              <w:t>Result</w:t>
            </w:r>
          </w:p>
        </w:tc>
      </w:tr>
      <w:tr w:rsidR="0012529F" w14:paraId="27D85D2B" w14:textId="77777777">
        <w:trPr>
          <w:jc w:val="center"/>
        </w:trPr>
        <w:tc>
          <w:tcPr>
            <w:tcW w:w="5040" w:type="dxa"/>
            <w:vAlign w:val="center"/>
          </w:tcPr>
          <w:p w14:paraId="55D3C51B" w14:textId="77777777" w:rsidR="0012529F" w:rsidRDefault="00000000">
            <w:pPr>
              <w:jc w:val="center"/>
            </w:pPr>
            <w:r>
              <w:t>Total records</w:t>
            </w:r>
          </w:p>
        </w:tc>
        <w:tc>
          <w:tcPr>
            <w:tcW w:w="5040" w:type="dxa"/>
            <w:vAlign w:val="center"/>
          </w:tcPr>
          <w:p w14:paraId="383D6F01" w14:textId="77777777" w:rsidR="0012529F" w:rsidRDefault="00000000">
            <w:pPr>
              <w:jc w:val="center"/>
            </w:pPr>
            <w:r>
              <w:t>10,000</w:t>
            </w:r>
          </w:p>
        </w:tc>
      </w:tr>
      <w:tr w:rsidR="0012529F" w14:paraId="58E92695" w14:textId="77777777">
        <w:trPr>
          <w:jc w:val="center"/>
        </w:trPr>
        <w:tc>
          <w:tcPr>
            <w:tcW w:w="5040" w:type="dxa"/>
            <w:vAlign w:val="center"/>
          </w:tcPr>
          <w:p w14:paraId="327B125D" w14:textId="77777777" w:rsidR="0012529F" w:rsidRDefault="00000000">
            <w:pPr>
              <w:jc w:val="center"/>
            </w:pPr>
            <w:r>
              <w:t>Total columns</w:t>
            </w:r>
          </w:p>
        </w:tc>
        <w:tc>
          <w:tcPr>
            <w:tcW w:w="5040" w:type="dxa"/>
            <w:vAlign w:val="center"/>
          </w:tcPr>
          <w:p w14:paraId="367C4829" w14:textId="77777777" w:rsidR="0012529F" w:rsidRDefault="00000000">
            <w:pPr>
              <w:jc w:val="center"/>
            </w:pPr>
            <w:r>
              <w:t>16</w:t>
            </w:r>
          </w:p>
        </w:tc>
      </w:tr>
      <w:tr w:rsidR="0012529F" w14:paraId="6F593CDD" w14:textId="77777777">
        <w:trPr>
          <w:jc w:val="center"/>
        </w:trPr>
        <w:tc>
          <w:tcPr>
            <w:tcW w:w="5040" w:type="dxa"/>
            <w:vAlign w:val="center"/>
          </w:tcPr>
          <w:p w14:paraId="037A0C3B" w14:textId="77777777" w:rsidR="0012529F" w:rsidRDefault="00000000">
            <w:pPr>
              <w:jc w:val="center"/>
            </w:pPr>
            <w:r>
              <w:t>No Churn</w:t>
            </w:r>
          </w:p>
        </w:tc>
        <w:tc>
          <w:tcPr>
            <w:tcW w:w="5040" w:type="dxa"/>
            <w:vAlign w:val="center"/>
          </w:tcPr>
          <w:p w14:paraId="7C33EEB3" w14:textId="77777777" w:rsidR="0012529F" w:rsidRDefault="00000000">
            <w:pPr>
              <w:jc w:val="center"/>
            </w:pPr>
            <w:r>
              <w:t>7,740 (77.40%)</w:t>
            </w:r>
          </w:p>
        </w:tc>
      </w:tr>
      <w:tr w:rsidR="0012529F" w14:paraId="2022C3F3" w14:textId="77777777">
        <w:trPr>
          <w:jc w:val="center"/>
        </w:trPr>
        <w:tc>
          <w:tcPr>
            <w:tcW w:w="5040" w:type="dxa"/>
            <w:vAlign w:val="center"/>
          </w:tcPr>
          <w:p w14:paraId="4D80E398" w14:textId="77777777" w:rsidR="0012529F" w:rsidRDefault="00000000">
            <w:pPr>
              <w:jc w:val="center"/>
            </w:pPr>
            <w:r>
              <w:t>Churn</w:t>
            </w:r>
          </w:p>
        </w:tc>
        <w:tc>
          <w:tcPr>
            <w:tcW w:w="5040" w:type="dxa"/>
            <w:vAlign w:val="center"/>
          </w:tcPr>
          <w:p w14:paraId="64A81B0E" w14:textId="77777777" w:rsidR="0012529F" w:rsidRDefault="00000000">
            <w:pPr>
              <w:jc w:val="center"/>
            </w:pPr>
            <w:r>
              <w:t>2,260 (22.60%)</w:t>
            </w:r>
          </w:p>
        </w:tc>
      </w:tr>
      <w:tr w:rsidR="0012529F" w14:paraId="69BFA2B4" w14:textId="77777777">
        <w:trPr>
          <w:jc w:val="center"/>
        </w:trPr>
        <w:tc>
          <w:tcPr>
            <w:tcW w:w="5040" w:type="dxa"/>
            <w:vAlign w:val="center"/>
          </w:tcPr>
          <w:p w14:paraId="70C40F46" w14:textId="77777777" w:rsidR="0012529F" w:rsidRDefault="00000000">
            <w:pPr>
              <w:jc w:val="center"/>
            </w:pPr>
            <w:r>
              <w:t>Overall churn rate</w:t>
            </w:r>
          </w:p>
        </w:tc>
        <w:tc>
          <w:tcPr>
            <w:tcW w:w="5040" w:type="dxa"/>
            <w:vAlign w:val="center"/>
          </w:tcPr>
          <w:p w14:paraId="2C8AF401" w14:textId="77777777" w:rsidR="0012529F" w:rsidRDefault="00000000">
            <w:pPr>
              <w:jc w:val="center"/>
            </w:pPr>
            <w:r>
              <w:t>22.60%</w:t>
            </w:r>
          </w:p>
        </w:tc>
      </w:tr>
      <w:tr w:rsidR="0012529F" w14:paraId="2419CCA3" w14:textId="77777777">
        <w:trPr>
          <w:jc w:val="center"/>
        </w:trPr>
        <w:tc>
          <w:tcPr>
            <w:tcW w:w="5040" w:type="dxa"/>
            <w:vAlign w:val="center"/>
          </w:tcPr>
          <w:p w14:paraId="77D1B325" w14:textId="77777777" w:rsidR="0012529F" w:rsidRDefault="00000000">
            <w:pPr>
              <w:jc w:val="center"/>
            </w:pPr>
            <w:r>
              <w:t>Final missing values after cleaning</w:t>
            </w:r>
          </w:p>
        </w:tc>
        <w:tc>
          <w:tcPr>
            <w:tcW w:w="5040" w:type="dxa"/>
            <w:vAlign w:val="center"/>
          </w:tcPr>
          <w:p w14:paraId="42D297E4" w14:textId="77777777" w:rsidR="0012529F" w:rsidRDefault="00000000">
            <w:pPr>
              <w:jc w:val="center"/>
            </w:pPr>
            <w:r>
              <w:t>0</w:t>
            </w:r>
          </w:p>
        </w:tc>
      </w:tr>
    </w:tbl>
    <w:p w14:paraId="0CCC55A5" w14:textId="77777777" w:rsidR="0012529F" w:rsidRDefault="0012529F"/>
    <w:p w14:paraId="15FE58E9" w14:textId="77777777" w:rsidR="0012529F" w:rsidRDefault="00000000">
      <w:pPr>
        <w:spacing w:after="120" w:line="259" w:lineRule="auto"/>
      </w:pPr>
      <w:r>
        <w:t>The Churn column is used as the main analysis variable for descriptive comparisons. It is not treated as a machine-learning target in this project because no predictive model is being developed.</w:t>
      </w:r>
    </w:p>
    <w:p w14:paraId="59A59E70" w14:textId="77777777" w:rsidR="0012529F" w:rsidRDefault="00000000">
      <w:r>
        <w:br w:type="page"/>
      </w:r>
    </w:p>
    <w:p w14:paraId="41BC0694" w14:textId="77777777" w:rsidR="0012529F" w:rsidRDefault="00000000">
      <w:pPr>
        <w:pStyle w:val="Heading1"/>
        <w:spacing w:before="160" w:after="100"/>
      </w:pPr>
      <w:r>
        <w:lastRenderedPageBreak/>
        <w:t>3. Data Cleaning and Preprocessing</w:t>
      </w:r>
    </w:p>
    <w:p w14:paraId="65553813" w14:textId="77777777" w:rsidR="0012529F" w:rsidRDefault="00000000">
      <w:pPr>
        <w:spacing w:after="120" w:line="259" w:lineRule="auto"/>
      </w:pPr>
      <w:r>
        <w:t>Visualization is only useful when the underlying data is reasonably consistent. The dataset was therefore inspected before creating charts. The cleaning stage focused on missing values, duplicates, data types, numerical ranges and the consistency of categorical values.</w:t>
      </w:r>
    </w:p>
    <w:p w14:paraId="115528B7" w14:textId="77777777" w:rsidR="0012529F" w:rsidRDefault="00000000">
      <w:pPr>
        <w:pStyle w:val="Heading2"/>
        <w:spacing w:before="160" w:after="100"/>
      </w:pPr>
      <w:r>
        <w:t>3.1 Cleaning Checks</w:t>
      </w:r>
    </w:p>
    <w:p w14:paraId="0B07B8F8" w14:textId="77777777" w:rsidR="0012529F" w:rsidRDefault="00000000">
      <w:pPr>
        <w:pStyle w:val="ListBullet"/>
        <w:spacing w:after="60"/>
      </w:pPr>
      <w:r>
        <w:t>Checked the number of rows and columns.</w:t>
      </w:r>
    </w:p>
    <w:p w14:paraId="424FB652" w14:textId="77777777" w:rsidR="0012529F" w:rsidRDefault="00000000">
      <w:pPr>
        <w:pStyle w:val="ListBullet"/>
        <w:spacing w:after="60"/>
      </w:pPr>
      <w:r>
        <w:t>Inspected data types and column names.</w:t>
      </w:r>
    </w:p>
    <w:p w14:paraId="0712326C" w14:textId="77777777" w:rsidR="0012529F" w:rsidRDefault="00000000">
      <w:pPr>
        <w:pStyle w:val="ListBullet"/>
        <w:spacing w:after="60"/>
      </w:pPr>
      <w:r>
        <w:t>Calculated missing-value counts and percentages.</w:t>
      </w:r>
    </w:p>
    <w:p w14:paraId="60250969" w14:textId="77777777" w:rsidR="0012529F" w:rsidRDefault="00000000">
      <w:pPr>
        <w:pStyle w:val="ListBullet"/>
        <w:spacing w:after="60"/>
      </w:pPr>
      <w:r>
        <w:t>Checked for duplicate rows.</w:t>
      </w:r>
    </w:p>
    <w:p w14:paraId="07E6F97C" w14:textId="77777777" w:rsidR="0012529F" w:rsidRDefault="00000000">
      <w:pPr>
        <w:pStyle w:val="ListBullet"/>
        <w:spacing w:after="60"/>
      </w:pPr>
      <w:r>
        <w:t>Reviewed descriptive statistics and numerical ranges.</w:t>
      </w:r>
    </w:p>
    <w:p w14:paraId="42FDB295" w14:textId="77777777" w:rsidR="0012529F" w:rsidRDefault="00000000">
      <w:pPr>
        <w:pStyle w:val="ListBullet"/>
        <w:spacing w:after="60"/>
      </w:pPr>
      <w:r>
        <w:t>Inspected the distribution of the Churn column.</w:t>
      </w:r>
    </w:p>
    <w:p w14:paraId="19B8E23C" w14:textId="77777777" w:rsidR="0012529F" w:rsidRDefault="00000000">
      <w:pPr>
        <w:pStyle w:val="ListBullet"/>
        <w:spacing w:after="60"/>
      </w:pPr>
      <w:proofErr w:type="spellStart"/>
      <w:r>
        <w:t>Standardised</w:t>
      </w:r>
      <w:proofErr w:type="spellEnd"/>
      <w:r>
        <w:t xml:space="preserve"> or handled values where required before visualization.</w:t>
      </w:r>
    </w:p>
    <w:p w14:paraId="64CBE50C" w14:textId="77777777" w:rsidR="0012529F" w:rsidRDefault="00000000">
      <w:pPr>
        <w:pStyle w:val="Heading2"/>
        <w:spacing w:before="160" w:after="100"/>
      </w:pPr>
      <w:r>
        <w:t>3.2 Missing Values</w:t>
      </w:r>
    </w:p>
    <w:p w14:paraId="7D1EE19C" w14:textId="77777777" w:rsidR="0012529F" w:rsidRDefault="00000000">
      <w:pPr>
        <w:spacing w:after="120" w:line="259" w:lineRule="auto"/>
      </w:pPr>
      <w:r>
        <w:t xml:space="preserve">Before cleaning, missing values were identified in </w:t>
      </w:r>
      <w:proofErr w:type="spellStart"/>
      <w:r>
        <w:t>Payment_Method</w:t>
      </w:r>
      <w:proofErr w:type="spellEnd"/>
      <w:r>
        <w:t xml:space="preserve"> (0.5%), </w:t>
      </w:r>
      <w:proofErr w:type="spellStart"/>
      <w:r>
        <w:t>Total_Charges</w:t>
      </w:r>
      <w:proofErr w:type="spellEnd"/>
      <w:r>
        <w:t xml:space="preserve"> (1.0%) and </w:t>
      </w:r>
      <w:proofErr w:type="spellStart"/>
      <w:r>
        <w:t>Satisfaction_Score</w:t>
      </w:r>
      <w:proofErr w:type="spellEnd"/>
      <w:r>
        <w:t xml:space="preserve"> (1.0%). These issues were handled during preprocessing so that the final analysis </w:t>
      </w:r>
      <w:proofErr w:type="spellStart"/>
      <w:r>
        <w:t>dataframe</w:t>
      </w:r>
      <w:proofErr w:type="spellEnd"/>
      <w:r>
        <w:t xml:space="preserve"> contained 10,000 rows and 16 columns with no remaining missing values.</w:t>
      </w:r>
    </w:p>
    <w:p w14:paraId="24C21F3A" w14:textId="77777777" w:rsidR="0012529F" w:rsidRDefault="00000000">
      <w:pPr>
        <w:pStyle w:val="Heading2"/>
        <w:spacing w:before="160" w:after="100"/>
      </w:pPr>
      <w:r>
        <w:t>3.3 Analysis Groups</w:t>
      </w:r>
    </w:p>
    <w:p w14:paraId="4634A9CB" w14:textId="77777777" w:rsidR="0012529F" w:rsidRDefault="00000000">
      <w:pPr>
        <w:spacing w:after="120" w:line="259" w:lineRule="auto"/>
      </w:pPr>
      <w:r>
        <w:t>Grouped variables were created to make numerical measures easier to compare visually. Tenure was grouped into 0–12, 13–24, 25–48 and 49+ months. Complaints were grouped into None, 1–2, 3–4 and 5+. Support calls were grouped into None, 1–2, 3–5 and 6+. Similar categories were created for monthly charges and last-login recency.</w:t>
      </w:r>
    </w:p>
    <w:p w14:paraId="6D62B3A6" w14:textId="77777777" w:rsidR="0012529F" w:rsidRDefault="00000000">
      <w:pPr>
        <w:spacing w:after="120" w:line="259" w:lineRule="auto"/>
      </w:pPr>
      <w:r>
        <w:t>These groups are analytical categories created for visualization. They simplify continuous or count-based measurements into interpretable segments, but the chosen boundaries can influence the visual pattern.</w:t>
      </w:r>
    </w:p>
    <w:p w14:paraId="7E92DE83" w14:textId="77777777" w:rsidR="0012529F" w:rsidRDefault="00000000">
      <w:r>
        <w:br w:type="page"/>
      </w:r>
    </w:p>
    <w:p w14:paraId="636F477E" w14:textId="77777777" w:rsidR="0012529F" w:rsidRDefault="00000000">
      <w:pPr>
        <w:pStyle w:val="Heading1"/>
        <w:spacing w:before="160" w:after="100"/>
      </w:pPr>
      <w:r>
        <w:lastRenderedPageBreak/>
        <w:t>4. Exploratory Data Analysis</w:t>
      </w:r>
    </w:p>
    <w:p w14:paraId="3F168903" w14:textId="77777777" w:rsidR="0012529F" w:rsidRDefault="00000000">
      <w:pPr>
        <w:spacing w:after="120" w:line="259" w:lineRule="auto"/>
      </w:pPr>
      <w:r>
        <w:t>Descriptive statistics were used to understand the central tendencies of important numerical variables before comparing churn rates.</w:t>
      </w:r>
    </w:p>
    <w:tbl>
      <w:tblPr>
        <w:tblStyle w:val="TableGrid"/>
        <w:tblW w:w="0" w:type="auto"/>
        <w:jc w:val="center"/>
        <w:tblLook w:val="04A0" w:firstRow="1" w:lastRow="0" w:firstColumn="1" w:lastColumn="0" w:noHBand="0" w:noVBand="1"/>
      </w:tblPr>
      <w:tblGrid>
        <w:gridCol w:w="5040"/>
        <w:gridCol w:w="5040"/>
      </w:tblGrid>
      <w:tr w:rsidR="0012529F" w14:paraId="63B98B27" w14:textId="77777777">
        <w:trPr>
          <w:jc w:val="center"/>
        </w:trPr>
        <w:tc>
          <w:tcPr>
            <w:tcW w:w="5040" w:type="dxa"/>
            <w:vAlign w:val="center"/>
          </w:tcPr>
          <w:p w14:paraId="5E930291" w14:textId="77777777" w:rsidR="0012529F" w:rsidRDefault="00000000">
            <w:pPr>
              <w:jc w:val="center"/>
            </w:pPr>
            <w:r>
              <w:rPr>
                <w:b/>
              </w:rPr>
              <w:t>Variable</w:t>
            </w:r>
          </w:p>
        </w:tc>
        <w:tc>
          <w:tcPr>
            <w:tcW w:w="5040" w:type="dxa"/>
            <w:vAlign w:val="center"/>
          </w:tcPr>
          <w:p w14:paraId="48D663A5" w14:textId="77777777" w:rsidR="0012529F" w:rsidRDefault="00000000">
            <w:pPr>
              <w:jc w:val="center"/>
            </w:pPr>
            <w:r>
              <w:rPr>
                <w:b/>
              </w:rPr>
              <w:t>Mean</w:t>
            </w:r>
          </w:p>
        </w:tc>
      </w:tr>
      <w:tr w:rsidR="0012529F" w14:paraId="108EC286" w14:textId="77777777">
        <w:trPr>
          <w:jc w:val="center"/>
        </w:trPr>
        <w:tc>
          <w:tcPr>
            <w:tcW w:w="5040" w:type="dxa"/>
            <w:vAlign w:val="center"/>
          </w:tcPr>
          <w:p w14:paraId="601C4BAE" w14:textId="77777777" w:rsidR="0012529F" w:rsidRDefault="00000000">
            <w:pPr>
              <w:jc w:val="center"/>
            </w:pPr>
            <w:r>
              <w:t>Age</w:t>
            </w:r>
          </w:p>
        </w:tc>
        <w:tc>
          <w:tcPr>
            <w:tcW w:w="5040" w:type="dxa"/>
            <w:vAlign w:val="center"/>
          </w:tcPr>
          <w:p w14:paraId="38903D5C" w14:textId="77777777" w:rsidR="0012529F" w:rsidRDefault="00000000">
            <w:pPr>
              <w:jc w:val="center"/>
            </w:pPr>
            <w:r>
              <w:t>38.39 years</w:t>
            </w:r>
          </w:p>
        </w:tc>
      </w:tr>
      <w:tr w:rsidR="0012529F" w14:paraId="0B03D68D" w14:textId="77777777">
        <w:trPr>
          <w:jc w:val="center"/>
        </w:trPr>
        <w:tc>
          <w:tcPr>
            <w:tcW w:w="5040" w:type="dxa"/>
            <w:vAlign w:val="center"/>
          </w:tcPr>
          <w:p w14:paraId="4FC948D3" w14:textId="77777777" w:rsidR="0012529F" w:rsidRDefault="00000000">
            <w:pPr>
              <w:jc w:val="center"/>
            </w:pPr>
            <w:proofErr w:type="spellStart"/>
            <w:r>
              <w:t>Tenure_Months</w:t>
            </w:r>
            <w:proofErr w:type="spellEnd"/>
          </w:p>
        </w:tc>
        <w:tc>
          <w:tcPr>
            <w:tcW w:w="5040" w:type="dxa"/>
            <w:vAlign w:val="center"/>
          </w:tcPr>
          <w:p w14:paraId="77FB9EB1" w14:textId="77777777" w:rsidR="0012529F" w:rsidRDefault="00000000">
            <w:pPr>
              <w:jc w:val="center"/>
            </w:pPr>
            <w:r>
              <w:t>36.70 months</w:t>
            </w:r>
          </w:p>
        </w:tc>
      </w:tr>
      <w:tr w:rsidR="0012529F" w14:paraId="2E8DAA7E" w14:textId="77777777">
        <w:trPr>
          <w:jc w:val="center"/>
        </w:trPr>
        <w:tc>
          <w:tcPr>
            <w:tcW w:w="5040" w:type="dxa"/>
            <w:vAlign w:val="center"/>
          </w:tcPr>
          <w:p w14:paraId="2D4AA894" w14:textId="77777777" w:rsidR="0012529F" w:rsidRDefault="00000000">
            <w:pPr>
              <w:jc w:val="center"/>
            </w:pPr>
            <w:proofErr w:type="spellStart"/>
            <w:r>
              <w:t>Monthly_Charges</w:t>
            </w:r>
            <w:proofErr w:type="spellEnd"/>
          </w:p>
        </w:tc>
        <w:tc>
          <w:tcPr>
            <w:tcW w:w="5040" w:type="dxa"/>
            <w:vAlign w:val="center"/>
          </w:tcPr>
          <w:p w14:paraId="243208F0" w14:textId="77777777" w:rsidR="0012529F" w:rsidRDefault="00000000">
            <w:pPr>
              <w:jc w:val="center"/>
            </w:pPr>
            <w:r>
              <w:t>82.76</w:t>
            </w:r>
          </w:p>
        </w:tc>
      </w:tr>
      <w:tr w:rsidR="0012529F" w14:paraId="4C6F8966" w14:textId="77777777">
        <w:trPr>
          <w:jc w:val="center"/>
        </w:trPr>
        <w:tc>
          <w:tcPr>
            <w:tcW w:w="5040" w:type="dxa"/>
            <w:vAlign w:val="center"/>
          </w:tcPr>
          <w:p w14:paraId="0BD26C4F" w14:textId="77777777" w:rsidR="0012529F" w:rsidRDefault="00000000">
            <w:pPr>
              <w:jc w:val="center"/>
            </w:pPr>
            <w:proofErr w:type="spellStart"/>
            <w:r>
              <w:t>Total_Charges</w:t>
            </w:r>
            <w:proofErr w:type="spellEnd"/>
          </w:p>
        </w:tc>
        <w:tc>
          <w:tcPr>
            <w:tcW w:w="5040" w:type="dxa"/>
            <w:vAlign w:val="center"/>
          </w:tcPr>
          <w:p w14:paraId="2291BF95" w14:textId="77777777" w:rsidR="0012529F" w:rsidRDefault="00000000">
            <w:pPr>
              <w:jc w:val="center"/>
            </w:pPr>
            <w:r>
              <w:t>3042.20</w:t>
            </w:r>
          </w:p>
        </w:tc>
      </w:tr>
      <w:tr w:rsidR="0012529F" w14:paraId="4CE92BF7" w14:textId="77777777">
        <w:trPr>
          <w:jc w:val="center"/>
        </w:trPr>
        <w:tc>
          <w:tcPr>
            <w:tcW w:w="5040" w:type="dxa"/>
            <w:vAlign w:val="center"/>
          </w:tcPr>
          <w:p w14:paraId="6DF6F8D3" w14:textId="77777777" w:rsidR="0012529F" w:rsidRDefault="00000000">
            <w:pPr>
              <w:jc w:val="center"/>
            </w:pPr>
            <w:proofErr w:type="spellStart"/>
            <w:r>
              <w:t>Number_of_Complaints</w:t>
            </w:r>
            <w:proofErr w:type="spellEnd"/>
          </w:p>
        </w:tc>
        <w:tc>
          <w:tcPr>
            <w:tcW w:w="5040" w:type="dxa"/>
            <w:vAlign w:val="center"/>
          </w:tcPr>
          <w:p w14:paraId="36B4B0A3" w14:textId="77777777" w:rsidR="0012529F" w:rsidRDefault="00000000">
            <w:pPr>
              <w:jc w:val="center"/>
            </w:pPr>
            <w:r>
              <w:t>1.30</w:t>
            </w:r>
          </w:p>
        </w:tc>
      </w:tr>
      <w:tr w:rsidR="0012529F" w14:paraId="2A29E0DE" w14:textId="77777777">
        <w:trPr>
          <w:jc w:val="center"/>
        </w:trPr>
        <w:tc>
          <w:tcPr>
            <w:tcW w:w="5040" w:type="dxa"/>
            <w:vAlign w:val="center"/>
          </w:tcPr>
          <w:p w14:paraId="284878E6" w14:textId="77777777" w:rsidR="0012529F" w:rsidRDefault="00000000">
            <w:pPr>
              <w:jc w:val="center"/>
            </w:pPr>
            <w:proofErr w:type="spellStart"/>
            <w:r>
              <w:t>Support_Calls</w:t>
            </w:r>
            <w:proofErr w:type="spellEnd"/>
          </w:p>
        </w:tc>
        <w:tc>
          <w:tcPr>
            <w:tcW w:w="5040" w:type="dxa"/>
            <w:vAlign w:val="center"/>
          </w:tcPr>
          <w:p w14:paraId="7F52E50B" w14:textId="77777777" w:rsidR="0012529F" w:rsidRDefault="00000000">
            <w:pPr>
              <w:jc w:val="center"/>
            </w:pPr>
            <w:r>
              <w:t>2.20</w:t>
            </w:r>
          </w:p>
        </w:tc>
      </w:tr>
      <w:tr w:rsidR="0012529F" w14:paraId="459BB1C1" w14:textId="77777777">
        <w:trPr>
          <w:jc w:val="center"/>
        </w:trPr>
        <w:tc>
          <w:tcPr>
            <w:tcW w:w="5040" w:type="dxa"/>
            <w:vAlign w:val="center"/>
          </w:tcPr>
          <w:p w14:paraId="23A46085" w14:textId="77777777" w:rsidR="0012529F" w:rsidRDefault="00000000">
            <w:pPr>
              <w:jc w:val="center"/>
            </w:pPr>
            <w:proofErr w:type="spellStart"/>
            <w:r>
              <w:t>Last_Login_Days</w:t>
            </w:r>
            <w:proofErr w:type="spellEnd"/>
          </w:p>
        </w:tc>
        <w:tc>
          <w:tcPr>
            <w:tcW w:w="5040" w:type="dxa"/>
            <w:vAlign w:val="center"/>
          </w:tcPr>
          <w:p w14:paraId="741786CF" w14:textId="77777777" w:rsidR="0012529F" w:rsidRDefault="00000000">
            <w:pPr>
              <w:jc w:val="center"/>
            </w:pPr>
            <w:r>
              <w:t>13.27 days</w:t>
            </w:r>
          </w:p>
        </w:tc>
      </w:tr>
      <w:tr w:rsidR="0012529F" w14:paraId="2DFCBA0B" w14:textId="77777777">
        <w:trPr>
          <w:jc w:val="center"/>
        </w:trPr>
        <w:tc>
          <w:tcPr>
            <w:tcW w:w="5040" w:type="dxa"/>
            <w:vAlign w:val="center"/>
          </w:tcPr>
          <w:p w14:paraId="00FF0B04" w14:textId="77777777" w:rsidR="0012529F" w:rsidRDefault="00000000">
            <w:pPr>
              <w:jc w:val="center"/>
            </w:pPr>
            <w:proofErr w:type="spellStart"/>
            <w:r>
              <w:t>Satisfaction_Score</w:t>
            </w:r>
            <w:proofErr w:type="spellEnd"/>
          </w:p>
        </w:tc>
        <w:tc>
          <w:tcPr>
            <w:tcW w:w="5040" w:type="dxa"/>
            <w:vAlign w:val="center"/>
          </w:tcPr>
          <w:p w14:paraId="53563A05" w14:textId="77777777" w:rsidR="0012529F" w:rsidRDefault="00000000">
            <w:pPr>
              <w:jc w:val="center"/>
            </w:pPr>
            <w:r>
              <w:t>6.75</w:t>
            </w:r>
          </w:p>
        </w:tc>
      </w:tr>
    </w:tbl>
    <w:p w14:paraId="537A1056" w14:textId="77777777" w:rsidR="0012529F" w:rsidRDefault="0012529F"/>
    <w:p w14:paraId="0CD19301" w14:textId="77777777" w:rsidR="0012529F" w:rsidRDefault="00000000">
      <w:pPr>
        <w:spacing w:after="120" w:line="259" w:lineRule="auto"/>
      </w:pPr>
      <w:r>
        <w:t>The overall churn distribution provides the baseline for every subsequent chart: 22.60% of customers churned, while 77.40% did not. Therefore, a group with a churn rate substantially above 22.60% can be described as having a higher observed churn rate than the overall dataset.</w:t>
      </w:r>
    </w:p>
    <w:p w14:paraId="5F014615" w14:textId="77777777" w:rsidR="0012529F" w:rsidRDefault="00000000">
      <w:r>
        <w:br w:type="page"/>
      </w:r>
    </w:p>
    <w:p w14:paraId="4EEA80B9" w14:textId="77777777" w:rsidR="0012529F" w:rsidRDefault="00000000">
      <w:pPr>
        <w:pStyle w:val="Heading1"/>
        <w:spacing w:before="160" w:after="100"/>
      </w:pPr>
      <w:r>
        <w:lastRenderedPageBreak/>
        <w:t>5. Customer Churn Distribution</w:t>
      </w:r>
    </w:p>
    <w:p w14:paraId="15592508" w14:textId="25E9DF09" w:rsidR="0012529F" w:rsidRDefault="0091155A">
      <w:pPr>
        <w:jc w:val="center"/>
      </w:pPr>
      <w:r>
        <w:rPr>
          <w:noProof/>
        </w:rPr>
        <w:drawing>
          <wp:inline distT="0" distB="0" distL="0" distR="0" wp14:anchorId="744D2480" wp14:editId="18E9B876">
            <wp:extent cx="4370070" cy="2440800"/>
            <wp:effectExtent l="0" t="0" r="0" b="0"/>
            <wp:docPr id="18525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2505" cy="2464501"/>
                    </a:xfrm>
                    <a:prstGeom prst="rect">
                      <a:avLst/>
                    </a:prstGeom>
                    <a:noFill/>
                    <a:ln>
                      <a:noFill/>
                    </a:ln>
                  </pic:spPr>
                </pic:pic>
              </a:graphicData>
            </a:graphic>
          </wp:inline>
        </w:drawing>
      </w:r>
    </w:p>
    <w:p w14:paraId="17EE65FF" w14:textId="77777777" w:rsidR="0012529F" w:rsidRDefault="00000000">
      <w:pPr>
        <w:jc w:val="center"/>
      </w:pPr>
      <w:r>
        <w:rPr>
          <w:i/>
          <w:sz w:val="18"/>
        </w:rPr>
        <w:t>Figure 1. Overall customer churn distribution.</w:t>
      </w:r>
    </w:p>
    <w:p w14:paraId="2FCBA30E" w14:textId="77777777" w:rsidR="0012529F" w:rsidRDefault="00000000">
      <w:pPr>
        <w:spacing w:after="120" w:line="259" w:lineRule="auto"/>
      </w:pPr>
      <w:r>
        <w:t>The dataset contains 7,740 customers who did not churn and 2,260 customers who churned. This corresponds to an overall churn rate of 22.60%. The figure establishes the baseline against which all subgroup churn rates are compared.</w:t>
      </w:r>
    </w:p>
    <w:p w14:paraId="323B2B80" w14:textId="77777777" w:rsidR="0012529F" w:rsidRDefault="00000000">
      <w:pPr>
        <w:spacing w:after="120" w:line="259" w:lineRule="auto"/>
      </w:pPr>
      <w:r>
        <w:t>Analytical insight: the churned group represents more than one-fifth of the dataset. This makes subgroup comparisons useful because the analysis can identify where observed churn rates are substantially higher or lower than the 22.60% baseline.</w:t>
      </w:r>
    </w:p>
    <w:p w14:paraId="2300980E" w14:textId="77777777" w:rsidR="0012529F" w:rsidRDefault="00000000">
      <w:r>
        <w:br w:type="page"/>
      </w:r>
    </w:p>
    <w:p w14:paraId="68D620A8" w14:textId="77777777" w:rsidR="0012529F" w:rsidRDefault="00000000">
      <w:pPr>
        <w:pStyle w:val="Heading1"/>
        <w:spacing w:before="160" w:after="100"/>
      </w:pPr>
      <w:r>
        <w:lastRenderedPageBreak/>
        <w:t>6. Churn Rate by Contract Type</w:t>
      </w:r>
    </w:p>
    <w:p w14:paraId="79AFC97C" w14:textId="77777777" w:rsidR="0012529F" w:rsidRDefault="00000000">
      <w:pPr>
        <w:jc w:val="center"/>
      </w:pPr>
      <w:r>
        <w:rPr>
          <w:noProof/>
        </w:rPr>
        <w:drawing>
          <wp:inline distT="0" distB="0" distL="0" distR="0" wp14:anchorId="7CDE3D38" wp14:editId="74DF7F3B">
            <wp:extent cx="5577840" cy="3106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ract.png"/>
                    <pic:cNvPicPr/>
                  </pic:nvPicPr>
                  <pic:blipFill>
                    <a:blip r:embed="rId9"/>
                    <a:stretch>
                      <a:fillRect/>
                    </a:stretch>
                  </pic:blipFill>
                  <pic:spPr>
                    <a:xfrm>
                      <a:off x="0" y="0"/>
                      <a:ext cx="5577840" cy="3106934"/>
                    </a:xfrm>
                    <a:prstGeom prst="rect">
                      <a:avLst/>
                    </a:prstGeom>
                  </pic:spPr>
                </pic:pic>
              </a:graphicData>
            </a:graphic>
          </wp:inline>
        </w:drawing>
      </w:r>
    </w:p>
    <w:p w14:paraId="67D18EEF" w14:textId="77777777" w:rsidR="0012529F" w:rsidRDefault="00000000">
      <w:pPr>
        <w:jc w:val="center"/>
      </w:pPr>
      <w:r>
        <w:rPr>
          <w:i/>
          <w:sz w:val="18"/>
        </w:rPr>
        <w:t>Figure 2. Churn rate by contract type.</w:t>
      </w:r>
    </w:p>
    <w:tbl>
      <w:tblPr>
        <w:tblStyle w:val="TableGrid"/>
        <w:tblW w:w="0" w:type="auto"/>
        <w:jc w:val="center"/>
        <w:tblLook w:val="04A0" w:firstRow="1" w:lastRow="0" w:firstColumn="1" w:lastColumn="0" w:noHBand="0" w:noVBand="1"/>
      </w:tblPr>
      <w:tblGrid>
        <w:gridCol w:w="2520"/>
        <w:gridCol w:w="2520"/>
        <w:gridCol w:w="2520"/>
        <w:gridCol w:w="2520"/>
      </w:tblGrid>
      <w:tr w:rsidR="0012529F" w14:paraId="276A1F2A" w14:textId="77777777">
        <w:trPr>
          <w:jc w:val="center"/>
        </w:trPr>
        <w:tc>
          <w:tcPr>
            <w:tcW w:w="2520" w:type="dxa"/>
            <w:vAlign w:val="center"/>
          </w:tcPr>
          <w:p w14:paraId="6D654E73" w14:textId="77777777" w:rsidR="0012529F" w:rsidRDefault="00000000">
            <w:pPr>
              <w:jc w:val="center"/>
            </w:pPr>
            <w:r>
              <w:rPr>
                <w:b/>
              </w:rPr>
              <w:t>Contract Type</w:t>
            </w:r>
          </w:p>
        </w:tc>
        <w:tc>
          <w:tcPr>
            <w:tcW w:w="2520" w:type="dxa"/>
            <w:vAlign w:val="center"/>
          </w:tcPr>
          <w:p w14:paraId="627F73A2" w14:textId="77777777" w:rsidR="0012529F" w:rsidRDefault="00000000">
            <w:pPr>
              <w:jc w:val="center"/>
            </w:pPr>
            <w:r>
              <w:rPr>
                <w:b/>
              </w:rPr>
              <w:t>Customers</w:t>
            </w:r>
          </w:p>
        </w:tc>
        <w:tc>
          <w:tcPr>
            <w:tcW w:w="2520" w:type="dxa"/>
            <w:vAlign w:val="center"/>
          </w:tcPr>
          <w:p w14:paraId="4E83F062" w14:textId="77777777" w:rsidR="0012529F" w:rsidRDefault="00000000">
            <w:pPr>
              <w:jc w:val="center"/>
            </w:pPr>
            <w:r>
              <w:rPr>
                <w:b/>
              </w:rPr>
              <w:t>Churned</w:t>
            </w:r>
          </w:p>
        </w:tc>
        <w:tc>
          <w:tcPr>
            <w:tcW w:w="2520" w:type="dxa"/>
            <w:vAlign w:val="center"/>
          </w:tcPr>
          <w:p w14:paraId="36A9B3F9" w14:textId="77777777" w:rsidR="0012529F" w:rsidRDefault="00000000">
            <w:pPr>
              <w:jc w:val="center"/>
            </w:pPr>
            <w:r>
              <w:rPr>
                <w:b/>
              </w:rPr>
              <w:t>Churn Rate</w:t>
            </w:r>
          </w:p>
        </w:tc>
      </w:tr>
      <w:tr w:rsidR="0012529F" w14:paraId="33DC2902" w14:textId="77777777">
        <w:trPr>
          <w:jc w:val="center"/>
        </w:trPr>
        <w:tc>
          <w:tcPr>
            <w:tcW w:w="2520" w:type="dxa"/>
            <w:vAlign w:val="center"/>
          </w:tcPr>
          <w:p w14:paraId="2D3A6194" w14:textId="77777777" w:rsidR="0012529F" w:rsidRDefault="00000000">
            <w:pPr>
              <w:jc w:val="center"/>
            </w:pPr>
            <w:r>
              <w:t>Month-to-Month</w:t>
            </w:r>
          </w:p>
        </w:tc>
        <w:tc>
          <w:tcPr>
            <w:tcW w:w="2520" w:type="dxa"/>
            <w:vAlign w:val="center"/>
          </w:tcPr>
          <w:p w14:paraId="33BE4402" w14:textId="77777777" w:rsidR="0012529F" w:rsidRDefault="00000000">
            <w:pPr>
              <w:jc w:val="center"/>
            </w:pPr>
            <w:r>
              <w:t>5,596</w:t>
            </w:r>
          </w:p>
        </w:tc>
        <w:tc>
          <w:tcPr>
            <w:tcW w:w="2520" w:type="dxa"/>
            <w:vAlign w:val="center"/>
          </w:tcPr>
          <w:p w14:paraId="2543C104" w14:textId="77777777" w:rsidR="0012529F" w:rsidRDefault="00000000">
            <w:pPr>
              <w:jc w:val="center"/>
            </w:pPr>
            <w:r>
              <w:t>1,715</w:t>
            </w:r>
          </w:p>
        </w:tc>
        <w:tc>
          <w:tcPr>
            <w:tcW w:w="2520" w:type="dxa"/>
            <w:vAlign w:val="center"/>
          </w:tcPr>
          <w:p w14:paraId="33508A73" w14:textId="77777777" w:rsidR="0012529F" w:rsidRDefault="00000000">
            <w:pPr>
              <w:jc w:val="center"/>
            </w:pPr>
            <w:r>
              <w:t>30.65%</w:t>
            </w:r>
          </w:p>
        </w:tc>
      </w:tr>
      <w:tr w:rsidR="0012529F" w14:paraId="5E928385" w14:textId="77777777">
        <w:trPr>
          <w:jc w:val="center"/>
        </w:trPr>
        <w:tc>
          <w:tcPr>
            <w:tcW w:w="2520" w:type="dxa"/>
            <w:vAlign w:val="center"/>
          </w:tcPr>
          <w:p w14:paraId="201DF34B" w14:textId="77777777" w:rsidR="0012529F" w:rsidRDefault="00000000">
            <w:pPr>
              <w:jc w:val="center"/>
            </w:pPr>
            <w:r>
              <w:t>One Year</w:t>
            </w:r>
          </w:p>
        </w:tc>
        <w:tc>
          <w:tcPr>
            <w:tcW w:w="2520" w:type="dxa"/>
            <w:vAlign w:val="center"/>
          </w:tcPr>
          <w:p w14:paraId="380B3540" w14:textId="77777777" w:rsidR="0012529F" w:rsidRDefault="00000000">
            <w:pPr>
              <w:jc w:val="center"/>
            </w:pPr>
            <w:r>
              <w:t>2,413</w:t>
            </w:r>
          </w:p>
        </w:tc>
        <w:tc>
          <w:tcPr>
            <w:tcW w:w="2520" w:type="dxa"/>
            <w:vAlign w:val="center"/>
          </w:tcPr>
          <w:p w14:paraId="2106AA26" w14:textId="77777777" w:rsidR="0012529F" w:rsidRDefault="00000000">
            <w:pPr>
              <w:jc w:val="center"/>
            </w:pPr>
            <w:r>
              <w:t>354</w:t>
            </w:r>
          </w:p>
        </w:tc>
        <w:tc>
          <w:tcPr>
            <w:tcW w:w="2520" w:type="dxa"/>
            <w:vAlign w:val="center"/>
          </w:tcPr>
          <w:p w14:paraId="17BA3BBD" w14:textId="77777777" w:rsidR="0012529F" w:rsidRDefault="00000000">
            <w:pPr>
              <w:jc w:val="center"/>
            </w:pPr>
            <w:r>
              <w:t>14.67%</w:t>
            </w:r>
          </w:p>
        </w:tc>
      </w:tr>
      <w:tr w:rsidR="0012529F" w14:paraId="467456D4" w14:textId="77777777">
        <w:trPr>
          <w:jc w:val="center"/>
        </w:trPr>
        <w:tc>
          <w:tcPr>
            <w:tcW w:w="2520" w:type="dxa"/>
            <w:vAlign w:val="center"/>
          </w:tcPr>
          <w:p w14:paraId="35CC788F" w14:textId="77777777" w:rsidR="0012529F" w:rsidRDefault="00000000">
            <w:pPr>
              <w:jc w:val="center"/>
            </w:pPr>
            <w:r>
              <w:t>Two Year</w:t>
            </w:r>
          </w:p>
        </w:tc>
        <w:tc>
          <w:tcPr>
            <w:tcW w:w="2520" w:type="dxa"/>
            <w:vAlign w:val="center"/>
          </w:tcPr>
          <w:p w14:paraId="0039C75E" w14:textId="77777777" w:rsidR="0012529F" w:rsidRDefault="00000000">
            <w:pPr>
              <w:jc w:val="center"/>
            </w:pPr>
            <w:r>
              <w:t>1,991</w:t>
            </w:r>
          </w:p>
        </w:tc>
        <w:tc>
          <w:tcPr>
            <w:tcW w:w="2520" w:type="dxa"/>
            <w:vAlign w:val="center"/>
          </w:tcPr>
          <w:p w14:paraId="43A20437" w14:textId="77777777" w:rsidR="0012529F" w:rsidRDefault="00000000">
            <w:pPr>
              <w:jc w:val="center"/>
            </w:pPr>
            <w:r>
              <w:t>191</w:t>
            </w:r>
          </w:p>
        </w:tc>
        <w:tc>
          <w:tcPr>
            <w:tcW w:w="2520" w:type="dxa"/>
            <w:vAlign w:val="center"/>
          </w:tcPr>
          <w:p w14:paraId="39888C1F" w14:textId="77777777" w:rsidR="0012529F" w:rsidRDefault="00000000">
            <w:pPr>
              <w:jc w:val="center"/>
            </w:pPr>
            <w:r>
              <w:t>9.59%</w:t>
            </w:r>
          </w:p>
        </w:tc>
      </w:tr>
    </w:tbl>
    <w:p w14:paraId="7833ED7C" w14:textId="77777777" w:rsidR="0012529F" w:rsidRDefault="0012529F"/>
    <w:p w14:paraId="7B2AB284" w14:textId="77777777" w:rsidR="0012529F" w:rsidRDefault="00000000">
      <w:pPr>
        <w:spacing w:after="120" w:line="259" w:lineRule="auto"/>
      </w:pPr>
      <w:r>
        <w:t>Analytical insight: month-to-month customers have a 30.65% churn rate, which is 21.06 percentage points higher than the 9.59% observed for two-year customers. The month-to-month rate is also about 3.2 times the two-year rate. This is one of the clearest differences in the descriptive analysis.</w:t>
      </w:r>
    </w:p>
    <w:p w14:paraId="300F778D" w14:textId="77777777" w:rsidR="0012529F" w:rsidRDefault="00000000">
      <w:pPr>
        <w:spacing w:after="120" w:line="259" w:lineRule="auto"/>
      </w:pPr>
      <w:r>
        <w:t>Storytelling point: the chart moves from a relatively high churn rate for short-term contracts toward a lower observed rate for longer contracts. This is an association in the dataset, not evidence that contract length alone causes churn.</w:t>
      </w:r>
    </w:p>
    <w:p w14:paraId="5C6A30F7" w14:textId="77777777" w:rsidR="0012529F" w:rsidRDefault="00000000">
      <w:r>
        <w:br w:type="page"/>
      </w:r>
    </w:p>
    <w:p w14:paraId="70E55E47" w14:textId="77777777" w:rsidR="0012529F" w:rsidRDefault="00000000">
      <w:pPr>
        <w:pStyle w:val="Heading1"/>
        <w:spacing w:before="160" w:after="100"/>
      </w:pPr>
      <w:r>
        <w:lastRenderedPageBreak/>
        <w:t>7. Churn Rate by Tenure</w:t>
      </w:r>
    </w:p>
    <w:p w14:paraId="2A5EAEDF" w14:textId="77777777" w:rsidR="0012529F" w:rsidRDefault="00000000">
      <w:pPr>
        <w:jc w:val="center"/>
      </w:pPr>
      <w:r>
        <w:rPr>
          <w:noProof/>
        </w:rPr>
        <w:drawing>
          <wp:inline distT="0" distB="0" distL="0" distR="0" wp14:anchorId="3D20FE3C" wp14:editId="35C60AC1">
            <wp:extent cx="5577840" cy="3106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nure.png"/>
                    <pic:cNvPicPr/>
                  </pic:nvPicPr>
                  <pic:blipFill>
                    <a:blip r:embed="rId10"/>
                    <a:stretch>
                      <a:fillRect/>
                    </a:stretch>
                  </pic:blipFill>
                  <pic:spPr>
                    <a:xfrm>
                      <a:off x="0" y="0"/>
                      <a:ext cx="5577840" cy="3106934"/>
                    </a:xfrm>
                    <a:prstGeom prst="rect">
                      <a:avLst/>
                    </a:prstGeom>
                  </pic:spPr>
                </pic:pic>
              </a:graphicData>
            </a:graphic>
          </wp:inline>
        </w:drawing>
      </w:r>
    </w:p>
    <w:p w14:paraId="0D677C34" w14:textId="77777777" w:rsidR="0012529F" w:rsidRDefault="00000000">
      <w:pPr>
        <w:jc w:val="center"/>
      </w:pPr>
      <w:r>
        <w:rPr>
          <w:i/>
          <w:sz w:val="18"/>
        </w:rPr>
        <w:t>Figure 3. Churn rate across tenure groups.</w:t>
      </w:r>
    </w:p>
    <w:tbl>
      <w:tblPr>
        <w:tblStyle w:val="TableGrid"/>
        <w:tblW w:w="0" w:type="auto"/>
        <w:jc w:val="center"/>
        <w:tblLook w:val="04A0" w:firstRow="1" w:lastRow="0" w:firstColumn="1" w:lastColumn="0" w:noHBand="0" w:noVBand="1"/>
      </w:tblPr>
      <w:tblGrid>
        <w:gridCol w:w="5040"/>
        <w:gridCol w:w="5040"/>
      </w:tblGrid>
      <w:tr w:rsidR="0012529F" w14:paraId="26389582" w14:textId="77777777">
        <w:trPr>
          <w:jc w:val="center"/>
        </w:trPr>
        <w:tc>
          <w:tcPr>
            <w:tcW w:w="5040" w:type="dxa"/>
            <w:vAlign w:val="center"/>
          </w:tcPr>
          <w:p w14:paraId="56148C8A" w14:textId="77777777" w:rsidR="0012529F" w:rsidRDefault="00000000">
            <w:pPr>
              <w:jc w:val="center"/>
            </w:pPr>
            <w:r>
              <w:rPr>
                <w:b/>
              </w:rPr>
              <w:t>Tenure Group</w:t>
            </w:r>
          </w:p>
        </w:tc>
        <w:tc>
          <w:tcPr>
            <w:tcW w:w="5040" w:type="dxa"/>
            <w:vAlign w:val="center"/>
          </w:tcPr>
          <w:p w14:paraId="6D606611" w14:textId="77777777" w:rsidR="0012529F" w:rsidRDefault="00000000">
            <w:pPr>
              <w:jc w:val="center"/>
            </w:pPr>
            <w:r>
              <w:rPr>
                <w:b/>
              </w:rPr>
              <w:t>Churn Rate</w:t>
            </w:r>
          </w:p>
        </w:tc>
      </w:tr>
      <w:tr w:rsidR="0012529F" w14:paraId="1E037E19" w14:textId="77777777">
        <w:trPr>
          <w:jc w:val="center"/>
        </w:trPr>
        <w:tc>
          <w:tcPr>
            <w:tcW w:w="5040" w:type="dxa"/>
            <w:vAlign w:val="center"/>
          </w:tcPr>
          <w:p w14:paraId="63CC7577" w14:textId="77777777" w:rsidR="0012529F" w:rsidRDefault="00000000">
            <w:pPr>
              <w:jc w:val="center"/>
            </w:pPr>
            <w:r>
              <w:t>0–12</w:t>
            </w:r>
          </w:p>
        </w:tc>
        <w:tc>
          <w:tcPr>
            <w:tcW w:w="5040" w:type="dxa"/>
            <w:vAlign w:val="center"/>
          </w:tcPr>
          <w:p w14:paraId="35C33CE2" w14:textId="77777777" w:rsidR="0012529F" w:rsidRDefault="00000000">
            <w:pPr>
              <w:jc w:val="center"/>
            </w:pPr>
            <w:r>
              <w:t>41.01%</w:t>
            </w:r>
          </w:p>
        </w:tc>
      </w:tr>
      <w:tr w:rsidR="0012529F" w14:paraId="35B5A77E" w14:textId="77777777">
        <w:trPr>
          <w:jc w:val="center"/>
        </w:trPr>
        <w:tc>
          <w:tcPr>
            <w:tcW w:w="5040" w:type="dxa"/>
            <w:vAlign w:val="center"/>
          </w:tcPr>
          <w:p w14:paraId="07095050" w14:textId="77777777" w:rsidR="0012529F" w:rsidRDefault="00000000">
            <w:pPr>
              <w:jc w:val="center"/>
            </w:pPr>
            <w:r>
              <w:t>13–24</w:t>
            </w:r>
          </w:p>
        </w:tc>
        <w:tc>
          <w:tcPr>
            <w:tcW w:w="5040" w:type="dxa"/>
            <w:vAlign w:val="center"/>
          </w:tcPr>
          <w:p w14:paraId="0B5ACEA1" w14:textId="77777777" w:rsidR="0012529F" w:rsidRDefault="00000000">
            <w:pPr>
              <w:jc w:val="center"/>
            </w:pPr>
            <w:r>
              <w:t>33.15%</w:t>
            </w:r>
          </w:p>
        </w:tc>
      </w:tr>
      <w:tr w:rsidR="0012529F" w14:paraId="0D412EBD" w14:textId="77777777">
        <w:trPr>
          <w:jc w:val="center"/>
        </w:trPr>
        <w:tc>
          <w:tcPr>
            <w:tcW w:w="5040" w:type="dxa"/>
            <w:vAlign w:val="center"/>
          </w:tcPr>
          <w:p w14:paraId="14E75EAC" w14:textId="77777777" w:rsidR="0012529F" w:rsidRDefault="00000000">
            <w:pPr>
              <w:jc w:val="center"/>
            </w:pPr>
            <w:r>
              <w:t>25–48</w:t>
            </w:r>
          </w:p>
        </w:tc>
        <w:tc>
          <w:tcPr>
            <w:tcW w:w="5040" w:type="dxa"/>
            <w:vAlign w:val="center"/>
          </w:tcPr>
          <w:p w14:paraId="0B27B46B" w14:textId="77777777" w:rsidR="0012529F" w:rsidRDefault="00000000">
            <w:pPr>
              <w:jc w:val="center"/>
            </w:pPr>
            <w:r>
              <w:t>20.27%</w:t>
            </w:r>
          </w:p>
        </w:tc>
      </w:tr>
      <w:tr w:rsidR="0012529F" w14:paraId="484F8C45" w14:textId="77777777">
        <w:trPr>
          <w:jc w:val="center"/>
        </w:trPr>
        <w:tc>
          <w:tcPr>
            <w:tcW w:w="5040" w:type="dxa"/>
            <w:vAlign w:val="center"/>
          </w:tcPr>
          <w:p w14:paraId="18AAAF2D" w14:textId="77777777" w:rsidR="0012529F" w:rsidRDefault="00000000">
            <w:pPr>
              <w:jc w:val="center"/>
            </w:pPr>
            <w:r>
              <w:t>49+</w:t>
            </w:r>
          </w:p>
        </w:tc>
        <w:tc>
          <w:tcPr>
            <w:tcW w:w="5040" w:type="dxa"/>
            <w:vAlign w:val="center"/>
          </w:tcPr>
          <w:p w14:paraId="670F12C2" w14:textId="77777777" w:rsidR="0012529F" w:rsidRDefault="00000000">
            <w:pPr>
              <w:jc w:val="center"/>
            </w:pPr>
            <w:r>
              <w:t>10.84%</w:t>
            </w:r>
          </w:p>
        </w:tc>
      </w:tr>
    </w:tbl>
    <w:p w14:paraId="2EC50D35" w14:textId="77777777" w:rsidR="0012529F" w:rsidRDefault="0012529F"/>
    <w:p w14:paraId="5898716F" w14:textId="77777777" w:rsidR="0012529F" w:rsidRDefault="00000000">
      <w:pPr>
        <w:spacing w:after="120" w:line="259" w:lineRule="auto"/>
      </w:pPr>
      <w:r>
        <w:t>Analytical insight: customers with 0–12 months of tenure have a 41.01% churn rate, while the 49+ month group has 10.84%. The difference is 30.17 percentage points. The visual shows a consistent downward pattern across the four tenure groups.</w:t>
      </w:r>
    </w:p>
    <w:p w14:paraId="6B449E97" w14:textId="77777777" w:rsidR="0012529F" w:rsidRDefault="00000000">
      <w:pPr>
        <w:spacing w:after="120" w:line="259" w:lineRule="auto"/>
      </w:pPr>
      <w:r>
        <w:t>Storytelling point: the first year is visually distinct from the longest-</w:t>
      </w:r>
      <w:proofErr w:type="spellStart"/>
      <w:r>
        <w:t>tenure</w:t>
      </w:r>
      <w:proofErr w:type="spellEnd"/>
      <w:r>
        <w:t xml:space="preserve"> group. This suggests that customer tenure is an important dimension for further descriptive investigation.</w:t>
      </w:r>
    </w:p>
    <w:p w14:paraId="4284FCF1" w14:textId="77777777" w:rsidR="0012529F" w:rsidRDefault="00000000">
      <w:r>
        <w:br w:type="page"/>
      </w:r>
    </w:p>
    <w:p w14:paraId="02E88D96" w14:textId="77777777" w:rsidR="0012529F" w:rsidRDefault="00000000">
      <w:pPr>
        <w:pStyle w:val="Heading1"/>
        <w:spacing w:before="160" w:after="100"/>
      </w:pPr>
      <w:r>
        <w:lastRenderedPageBreak/>
        <w:t>8. Churn Rate by Number of Complaints</w:t>
      </w:r>
    </w:p>
    <w:p w14:paraId="2E8C536A" w14:textId="77777777" w:rsidR="0012529F" w:rsidRDefault="00000000">
      <w:pPr>
        <w:jc w:val="center"/>
      </w:pPr>
      <w:r>
        <w:rPr>
          <w:noProof/>
        </w:rPr>
        <w:drawing>
          <wp:inline distT="0" distB="0" distL="0" distR="0" wp14:anchorId="0997687B" wp14:editId="108FEC69">
            <wp:extent cx="5577840" cy="3106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laints.png"/>
                    <pic:cNvPicPr/>
                  </pic:nvPicPr>
                  <pic:blipFill>
                    <a:blip r:embed="rId11"/>
                    <a:stretch>
                      <a:fillRect/>
                    </a:stretch>
                  </pic:blipFill>
                  <pic:spPr>
                    <a:xfrm>
                      <a:off x="0" y="0"/>
                      <a:ext cx="5577840" cy="3106934"/>
                    </a:xfrm>
                    <a:prstGeom prst="rect">
                      <a:avLst/>
                    </a:prstGeom>
                  </pic:spPr>
                </pic:pic>
              </a:graphicData>
            </a:graphic>
          </wp:inline>
        </w:drawing>
      </w:r>
    </w:p>
    <w:p w14:paraId="5868CB85" w14:textId="77777777" w:rsidR="0012529F" w:rsidRDefault="00000000">
      <w:pPr>
        <w:jc w:val="center"/>
      </w:pPr>
      <w:r>
        <w:rPr>
          <w:i/>
          <w:sz w:val="18"/>
        </w:rPr>
        <w:t>Figure 4. Churn rate by complaint group.</w:t>
      </w:r>
    </w:p>
    <w:tbl>
      <w:tblPr>
        <w:tblStyle w:val="TableGrid"/>
        <w:tblW w:w="0" w:type="auto"/>
        <w:jc w:val="center"/>
        <w:tblLook w:val="04A0" w:firstRow="1" w:lastRow="0" w:firstColumn="1" w:lastColumn="0" w:noHBand="0" w:noVBand="1"/>
      </w:tblPr>
      <w:tblGrid>
        <w:gridCol w:w="5040"/>
        <w:gridCol w:w="5040"/>
      </w:tblGrid>
      <w:tr w:rsidR="0012529F" w14:paraId="35D7904B" w14:textId="77777777">
        <w:trPr>
          <w:jc w:val="center"/>
        </w:trPr>
        <w:tc>
          <w:tcPr>
            <w:tcW w:w="5040" w:type="dxa"/>
            <w:vAlign w:val="center"/>
          </w:tcPr>
          <w:p w14:paraId="47549F22" w14:textId="77777777" w:rsidR="0012529F" w:rsidRDefault="00000000">
            <w:pPr>
              <w:jc w:val="center"/>
            </w:pPr>
            <w:r>
              <w:rPr>
                <w:b/>
              </w:rPr>
              <w:t>Complaint Group</w:t>
            </w:r>
          </w:p>
        </w:tc>
        <w:tc>
          <w:tcPr>
            <w:tcW w:w="5040" w:type="dxa"/>
            <w:vAlign w:val="center"/>
          </w:tcPr>
          <w:p w14:paraId="1469B1D2" w14:textId="77777777" w:rsidR="0012529F" w:rsidRDefault="00000000">
            <w:pPr>
              <w:jc w:val="center"/>
            </w:pPr>
            <w:r>
              <w:rPr>
                <w:b/>
              </w:rPr>
              <w:t>Churn Rate</w:t>
            </w:r>
          </w:p>
        </w:tc>
      </w:tr>
      <w:tr w:rsidR="0012529F" w14:paraId="7EE21718" w14:textId="77777777">
        <w:trPr>
          <w:jc w:val="center"/>
        </w:trPr>
        <w:tc>
          <w:tcPr>
            <w:tcW w:w="5040" w:type="dxa"/>
            <w:vAlign w:val="center"/>
          </w:tcPr>
          <w:p w14:paraId="29C76045" w14:textId="77777777" w:rsidR="0012529F" w:rsidRDefault="00000000">
            <w:pPr>
              <w:jc w:val="center"/>
            </w:pPr>
            <w:r>
              <w:t>None</w:t>
            </w:r>
          </w:p>
        </w:tc>
        <w:tc>
          <w:tcPr>
            <w:tcW w:w="5040" w:type="dxa"/>
            <w:vAlign w:val="center"/>
          </w:tcPr>
          <w:p w14:paraId="60C4F46E" w14:textId="77777777" w:rsidR="0012529F" w:rsidRDefault="00000000">
            <w:pPr>
              <w:jc w:val="center"/>
            </w:pPr>
            <w:r>
              <w:t>15.31%</w:t>
            </w:r>
          </w:p>
        </w:tc>
      </w:tr>
      <w:tr w:rsidR="0012529F" w14:paraId="6547A3C1" w14:textId="77777777">
        <w:trPr>
          <w:jc w:val="center"/>
        </w:trPr>
        <w:tc>
          <w:tcPr>
            <w:tcW w:w="5040" w:type="dxa"/>
            <w:vAlign w:val="center"/>
          </w:tcPr>
          <w:p w14:paraId="429CEC94" w14:textId="77777777" w:rsidR="0012529F" w:rsidRDefault="00000000">
            <w:pPr>
              <w:jc w:val="center"/>
            </w:pPr>
            <w:r>
              <w:t>1–2</w:t>
            </w:r>
          </w:p>
        </w:tc>
        <w:tc>
          <w:tcPr>
            <w:tcW w:w="5040" w:type="dxa"/>
            <w:vAlign w:val="center"/>
          </w:tcPr>
          <w:p w14:paraId="192CC328" w14:textId="77777777" w:rsidR="0012529F" w:rsidRDefault="00000000">
            <w:pPr>
              <w:jc w:val="center"/>
            </w:pPr>
            <w:r>
              <w:t>22.71%</w:t>
            </w:r>
          </w:p>
        </w:tc>
      </w:tr>
      <w:tr w:rsidR="0012529F" w14:paraId="51AE5107" w14:textId="77777777">
        <w:trPr>
          <w:jc w:val="center"/>
        </w:trPr>
        <w:tc>
          <w:tcPr>
            <w:tcW w:w="5040" w:type="dxa"/>
            <w:vAlign w:val="center"/>
          </w:tcPr>
          <w:p w14:paraId="0862153C" w14:textId="77777777" w:rsidR="0012529F" w:rsidRDefault="00000000">
            <w:pPr>
              <w:jc w:val="center"/>
            </w:pPr>
            <w:r>
              <w:t>3–4</w:t>
            </w:r>
          </w:p>
        </w:tc>
        <w:tc>
          <w:tcPr>
            <w:tcW w:w="5040" w:type="dxa"/>
            <w:vAlign w:val="center"/>
          </w:tcPr>
          <w:p w14:paraId="35D54469" w14:textId="77777777" w:rsidR="0012529F" w:rsidRDefault="00000000">
            <w:pPr>
              <w:jc w:val="center"/>
            </w:pPr>
            <w:r>
              <w:t>34.93%</w:t>
            </w:r>
          </w:p>
        </w:tc>
      </w:tr>
      <w:tr w:rsidR="0012529F" w14:paraId="191B0096" w14:textId="77777777">
        <w:trPr>
          <w:jc w:val="center"/>
        </w:trPr>
        <w:tc>
          <w:tcPr>
            <w:tcW w:w="5040" w:type="dxa"/>
            <w:vAlign w:val="center"/>
          </w:tcPr>
          <w:p w14:paraId="27674E10" w14:textId="77777777" w:rsidR="0012529F" w:rsidRDefault="00000000">
            <w:pPr>
              <w:jc w:val="center"/>
            </w:pPr>
            <w:r>
              <w:t>5+</w:t>
            </w:r>
          </w:p>
        </w:tc>
        <w:tc>
          <w:tcPr>
            <w:tcW w:w="5040" w:type="dxa"/>
            <w:vAlign w:val="center"/>
          </w:tcPr>
          <w:p w14:paraId="412A9175" w14:textId="77777777" w:rsidR="0012529F" w:rsidRDefault="00000000">
            <w:pPr>
              <w:jc w:val="center"/>
            </w:pPr>
            <w:r>
              <w:t>51.26%</w:t>
            </w:r>
          </w:p>
        </w:tc>
      </w:tr>
    </w:tbl>
    <w:p w14:paraId="3BF22E1E" w14:textId="77777777" w:rsidR="0012529F" w:rsidRDefault="0012529F"/>
    <w:p w14:paraId="54E01482" w14:textId="77777777" w:rsidR="0012529F" w:rsidRDefault="00000000">
      <w:pPr>
        <w:spacing w:after="120" w:line="259" w:lineRule="auto"/>
      </w:pPr>
      <w:r>
        <w:t>Analytical insight: churn rises from 15.31% among customers with no complaints to 51.26% among customers with 5 or more complaints. That is a 35.95 percentage-point difference. The 5+ complaint group has a churn rate more than three times the no-complaint group.</w:t>
      </w:r>
    </w:p>
    <w:p w14:paraId="337F9060" w14:textId="77777777" w:rsidR="0012529F" w:rsidRDefault="00000000">
      <w:pPr>
        <w:spacing w:after="120" w:line="259" w:lineRule="auto"/>
      </w:pPr>
      <w:r>
        <w:t>Storytelling point: the increasing bars create a strong visual progression. However, the chart does not establish whether complaints cause churn; complaints and churn may both be related to other customer experiences.</w:t>
      </w:r>
    </w:p>
    <w:p w14:paraId="3FD281DA" w14:textId="77777777" w:rsidR="0012529F" w:rsidRDefault="00000000">
      <w:r>
        <w:br w:type="page"/>
      </w:r>
    </w:p>
    <w:p w14:paraId="09CC4CE8" w14:textId="1507CD5B" w:rsidR="0012529F" w:rsidRDefault="00000000">
      <w:pPr>
        <w:pStyle w:val="Heading1"/>
        <w:spacing w:before="160" w:after="100"/>
      </w:pPr>
      <w:r>
        <w:lastRenderedPageBreak/>
        <w:t>9. Churn Rate by Satisfaction Level</w:t>
      </w:r>
    </w:p>
    <w:p w14:paraId="7DAF2968" w14:textId="1E5A9B62" w:rsidR="0012529F" w:rsidRDefault="0091155A">
      <w:pPr>
        <w:jc w:val="center"/>
      </w:pPr>
      <w:r>
        <w:rPr>
          <w:noProof/>
        </w:rPr>
        <w:drawing>
          <wp:inline distT="0" distB="0" distL="0" distR="0" wp14:anchorId="127D297B" wp14:editId="404F27CE">
            <wp:extent cx="5516880" cy="3181190"/>
            <wp:effectExtent l="0" t="0" r="7620" b="635"/>
            <wp:docPr id="36169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1427" cy="3189578"/>
                    </a:xfrm>
                    <a:prstGeom prst="rect">
                      <a:avLst/>
                    </a:prstGeom>
                    <a:noFill/>
                    <a:ln>
                      <a:noFill/>
                    </a:ln>
                  </pic:spPr>
                </pic:pic>
              </a:graphicData>
            </a:graphic>
          </wp:inline>
        </w:drawing>
      </w:r>
    </w:p>
    <w:p w14:paraId="43D485C6" w14:textId="25BC6776" w:rsidR="0012529F" w:rsidRDefault="00000000">
      <w:pPr>
        <w:jc w:val="center"/>
      </w:pPr>
      <w:r>
        <w:rPr>
          <w:i/>
          <w:sz w:val="18"/>
        </w:rPr>
        <w:t>Figure 5. Churn rate by satisfaction level.</w:t>
      </w:r>
    </w:p>
    <w:tbl>
      <w:tblPr>
        <w:tblStyle w:val="TableGrid"/>
        <w:tblW w:w="0" w:type="auto"/>
        <w:jc w:val="center"/>
        <w:tblLook w:val="04A0" w:firstRow="1" w:lastRow="0" w:firstColumn="1" w:lastColumn="0" w:noHBand="0" w:noVBand="1"/>
      </w:tblPr>
      <w:tblGrid>
        <w:gridCol w:w="5040"/>
        <w:gridCol w:w="5040"/>
      </w:tblGrid>
      <w:tr w:rsidR="0012529F" w14:paraId="2050099D" w14:textId="77777777">
        <w:trPr>
          <w:jc w:val="center"/>
        </w:trPr>
        <w:tc>
          <w:tcPr>
            <w:tcW w:w="5040" w:type="dxa"/>
            <w:vAlign w:val="center"/>
          </w:tcPr>
          <w:p w14:paraId="4B1CD4AC" w14:textId="77777777" w:rsidR="0012529F" w:rsidRDefault="00000000">
            <w:pPr>
              <w:jc w:val="center"/>
            </w:pPr>
            <w:r>
              <w:rPr>
                <w:b/>
              </w:rPr>
              <w:t>Satisfaction Level</w:t>
            </w:r>
          </w:p>
        </w:tc>
        <w:tc>
          <w:tcPr>
            <w:tcW w:w="5040" w:type="dxa"/>
            <w:vAlign w:val="center"/>
          </w:tcPr>
          <w:p w14:paraId="2C1798DC" w14:textId="77777777" w:rsidR="0012529F" w:rsidRDefault="00000000">
            <w:pPr>
              <w:jc w:val="center"/>
            </w:pPr>
            <w:r>
              <w:rPr>
                <w:b/>
              </w:rPr>
              <w:t>Churn Rate</w:t>
            </w:r>
          </w:p>
        </w:tc>
      </w:tr>
      <w:tr w:rsidR="0012529F" w14:paraId="287E2401" w14:textId="77777777">
        <w:trPr>
          <w:jc w:val="center"/>
        </w:trPr>
        <w:tc>
          <w:tcPr>
            <w:tcW w:w="5040" w:type="dxa"/>
            <w:vAlign w:val="center"/>
          </w:tcPr>
          <w:p w14:paraId="398D8FC5" w14:textId="77777777" w:rsidR="0012529F" w:rsidRDefault="00000000">
            <w:pPr>
              <w:jc w:val="center"/>
            </w:pPr>
            <w:r>
              <w:t>Low</w:t>
            </w:r>
          </w:p>
        </w:tc>
        <w:tc>
          <w:tcPr>
            <w:tcW w:w="5040" w:type="dxa"/>
            <w:vAlign w:val="center"/>
          </w:tcPr>
          <w:p w14:paraId="06D15A34" w14:textId="11784E5A" w:rsidR="0012529F" w:rsidRDefault="00000000">
            <w:pPr>
              <w:jc w:val="center"/>
            </w:pPr>
            <w:r>
              <w:t>5</w:t>
            </w:r>
            <w:r w:rsidR="00C67B09">
              <w:t>4</w:t>
            </w:r>
            <w:r>
              <w:t>.4%</w:t>
            </w:r>
          </w:p>
        </w:tc>
      </w:tr>
      <w:tr w:rsidR="0012529F" w14:paraId="5BB7EBFA" w14:textId="77777777">
        <w:trPr>
          <w:jc w:val="center"/>
        </w:trPr>
        <w:tc>
          <w:tcPr>
            <w:tcW w:w="5040" w:type="dxa"/>
            <w:vAlign w:val="center"/>
          </w:tcPr>
          <w:p w14:paraId="0A380D2A" w14:textId="77777777" w:rsidR="0012529F" w:rsidRDefault="00000000">
            <w:pPr>
              <w:jc w:val="center"/>
            </w:pPr>
            <w:r>
              <w:t>Medium</w:t>
            </w:r>
          </w:p>
        </w:tc>
        <w:tc>
          <w:tcPr>
            <w:tcW w:w="5040" w:type="dxa"/>
            <w:vAlign w:val="center"/>
          </w:tcPr>
          <w:p w14:paraId="235DACB9" w14:textId="4F628AE4" w:rsidR="0012529F" w:rsidRDefault="00C67B09">
            <w:pPr>
              <w:jc w:val="center"/>
            </w:pPr>
            <w:r>
              <w:t>27.5%</w:t>
            </w:r>
          </w:p>
        </w:tc>
      </w:tr>
      <w:tr w:rsidR="0012529F" w14:paraId="5BE847F0" w14:textId="77777777">
        <w:trPr>
          <w:jc w:val="center"/>
        </w:trPr>
        <w:tc>
          <w:tcPr>
            <w:tcW w:w="5040" w:type="dxa"/>
            <w:vAlign w:val="center"/>
          </w:tcPr>
          <w:p w14:paraId="39E4CD8E" w14:textId="77777777" w:rsidR="0012529F" w:rsidRDefault="00000000">
            <w:pPr>
              <w:jc w:val="center"/>
            </w:pPr>
            <w:r>
              <w:t>High</w:t>
            </w:r>
          </w:p>
        </w:tc>
        <w:tc>
          <w:tcPr>
            <w:tcW w:w="5040" w:type="dxa"/>
            <w:vAlign w:val="center"/>
          </w:tcPr>
          <w:p w14:paraId="19AEA478" w14:textId="51F7F73C" w:rsidR="0012529F" w:rsidRDefault="00000000">
            <w:pPr>
              <w:jc w:val="center"/>
            </w:pPr>
            <w:r>
              <w:t>1</w:t>
            </w:r>
            <w:r w:rsidR="00C67B09">
              <w:t>4.7</w:t>
            </w:r>
            <w:r>
              <w:t>%</w:t>
            </w:r>
          </w:p>
        </w:tc>
      </w:tr>
    </w:tbl>
    <w:p w14:paraId="791CB2CD" w14:textId="77777777" w:rsidR="0012529F" w:rsidRDefault="0012529F"/>
    <w:p w14:paraId="5D0462E6" w14:textId="549B5490" w:rsidR="0012529F" w:rsidRDefault="00000000">
      <w:pPr>
        <w:spacing w:after="120" w:line="259" w:lineRule="auto"/>
      </w:pPr>
      <w:r>
        <w:t>Analytical insight: the low-satisfaction group has an observed churn rate of 5</w:t>
      </w:r>
      <w:r w:rsidR="00C67B09">
        <w:t>4.</w:t>
      </w:r>
      <w:r>
        <w:t>4%, compared with 1</w:t>
      </w:r>
      <w:r w:rsidR="00C67B09">
        <w:t>4.7</w:t>
      </w:r>
      <w:r>
        <w:t>% for the high-satisfaction group. The difference is 3</w:t>
      </w:r>
      <w:r w:rsidR="00C67B09">
        <w:t>9</w:t>
      </w:r>
      <w:r>
        <w:t>.</w:t>
      </w:r>
      <w:r w:rsidR="00C67B09">
        <w:t>7</w:t>
      </w:r>
      <w:r>
        <w:t xml:space="preserve"> percentage points. The low-satisfaction rate is approximately 3.</w:t>
      </w:r>
      <w:r w:rsidR="00C67B09">
        <w:t>4</w:t>
      </w:r>
      <w:r>
        <w:t xml:space="preserve"> times the high-satisfaction rate.</w:t>
      </w:r>
    </w:p>
    <w:p w14:paraId="0C52F849" w14:textId="77777777" w:rsidR="0012529F" w:rsidRDefault="00000000">
      <w:pPr>
        <w:spacing w:after="120" w:line="259" w:lineRule="auto"/>
      </w:pPr>
      <w:r>
        <w:t>Storytelling point: satisfaction produces one of the largest observed gaps in this analysis. Because this is descriptive analysis, the result should be presented as an association rather than a causal conclusion.</w:t>
      </w:r>
    </w:p>
    <w:p w14:paraId="660BBD1E" w14:textId="77777777" w:rsidR="0012529F" w:rsidRDefault="00000000">
      <w:r>
        <w:br w:type="page"/>
      </w:r>
    </w:p>
    <w:p w14:paraId="62DE7F08" w14:textId="4AEEE745" w:rsidR="004643A4" w:rsidRDefault="004643A4" w:rsidP="004643A4">
      <w:pPr>
        <w:pStyle w:val="Heading1"/>
        <w:spacing w:before="160" w:after="100"/>
      </w:pPr>
      <w:r>
        <w:lastRenderedPageBreak/>
        <w:t>10. Churn Rate by Last-Login Recency</w:t>
      </w:r>
    </w:p>
    <w:p w14:paraId="75474904" w14:textId="77777777" w:rsidR="004643A4" w:rsidRDefault="004643A4" w:rsidP="004643A4"/>
    <w:p w14:paraId="1F6DB302" w14:textId="5E9C3060" w:rsidR="004643A4" w:rsidRPr="004643A4" w:rsidRDefault="004643A4" w:rsidP="004643A4">
      <w:r>
        <w:rPr>
          <w:noProof/>
        </w:rPr>
        <w:drawing>
          <wp:inline distT="0" distB="0" distL="0" distR="0" wp14:anchorId="28F8A8D2" wp14:editId="667140E0">
            <wp:extent cx="5577840" cy="3106934"/>
            <wp:effectExtent l="0" t="0" r="0" b="0"/>
            <wp:docPr id="842556177" name="Picture 84255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gin.png"/>
                    <pic:cNvPicPr/>
                  </pic:nvPicPr>
                  <pic:blipFill>
                    <a:blip r:embed="rId13"/>
                    <a:stretch>
                      <a:fillRect/>
                    </a:stretch>
                  </pic:blipFill>
                  <pic:spPr>
                    <a:xfrm>
                      <a:off x="0" y="0"/>
                      <a:ext cx="5577840" cy="3106934"/>
                    </a:xfrm>
                    <a:prstGeom prst="rect">
                      <a:avLst/>
                    </a:prstGeom>
                  </pic:spPr>
                </pic:pic>
              </a:graphicData>
            </a:graphic>
          </wp:inline>
        </w:drawing>
      </w:r>
    </w:p>
    <w:p w14:paraId="4692A1D3" w14:textId="77777777" w:rsidR="004643A4" w:rsidRDefault="004643A4" w:rsidP="004643A4">
      <w:pPr>
        <w:jc w:val="center"/>
      </w:pPr>
      <w:r>
        <w:t xml:space="preserve">                                     </w:t>
      </w:r>
      <w:r>
        <w:rPr>
          <w:i/>
          <w:sz w:val="18"/>
        </w:rPr>
        <w:t>Figure 9. Churn rate by days since last login.</w:t>
      </w:r>
    </w:p>
    <w:tbl>
      <w:tblPr>
        <w:tblStyle w:val="TableGrid"/>
        <w:tblW w:w="0" w:type="auto"/>
        <w:jc w:val="center"/>
        <w:tblLook w:val="04A0" w:firstRow="1" w:lastRow="0" w:firstColumn="1" w:lastColumn="0" w:noHBand="0" w:noVBand="1"/>
      </w:tblPr>
      <w:tblGrid>
        <w:gridCol w:w="5040"/>
        <w:gridCol w:w="5040"/>
      </w:tblGrid>
      <w:tr w:rsidR="004643A4" w14:paraId="1DA35F94" w14:textId="77777777" w:rsidTr="003032EC">
        <w:trPr>
          <w:jc w:val="center"/>
        </w:trPr>
        <w:tc>
          <w:tcPr>
            <w:tcW w:w="5040" w:type="dxa"/>
            <w:vAlign w:val="center"/>
          </w:tcPr>
          <w:p w14:paraId="0256FE90" w14:textId="77777777" w:rsidR="004643A4" w:rsidRDefault="004643A4" w:rsidP="003032EC">
            <w:pPr>
              <w:jc w:val="center"/>
            </w:pPr>
            <w:r>
              <w:rPr>
                <w:b/>
              </w:rPr>
              <w:t>Last Login Group</w:t>
            </w:r>
          </w:p>
        </w:tc>
        <w:tc>
          <w:tcPr>
            <w:tcW w:w="5040" w:type="dxa"/>
            <w:vAlign w:val="center"/>
          </w:tcPr>
          <w:p w14:paraId="5E7084CC" w14:textId="77777777" w:rsidR="004643A4" w:rsidRDefault="004643A4" w:rsidP="003032EC">
            <w:pPr>
              <w:jc w:val="center"/>
            </w:pPr>
            <w:r>
              <w:rPr>
                <w:b/>
              </w:rPr>
              <w:t>Churn Rate</w:t>
            </w:r>
          </w:p>
        </w:tc>
      </w:tr>
      <w:tr w:rsidR="004643A4" w14:paraId="34905EC4" w14:textId="77777777" w:rsidTr="003032EC">
        <w:trPr>
          <w:jc w:val="center"/>
        </w:trPr>
        <w:tc>
          <w:tcPr>
            <w:tcW w:w="5040" w:type="dxa"/>
            <w:vAlign w:val="center"/>
          </w:tcPr>
          <w:p w14:paraId="1F96769A" w14:textId="77777777" w:rsidR="004643A4" w:rsidRDefault="004643A4" w:rsidP="003032EC">
            <w:pPr>
              <w:jc w:val="center"/>
            </w:pPr>
            <w:r>
              <w:t>0–7 days</w:t>
            </w:r>
          </w:p>
        </w:tc>
        <w:tc>
          <w:tcPr>
            <w:tcW w:w="5040" w:type="dxa"/>
            <w:vAlign w:val="center"/>
          </w:tcPr>
          <w:p w14:paraId="6A50B082" w14:textId="77777777" w:rsidR="004643A4" w:rsidRDefault="004643A4" w:rsidP="003032EC">
            <w:pPr>
              <w:jc w:val="center"/>
            </w:pPr>
            <w:r>
              <w:t>19.00%</w:t>
            </w:r>
          </w:p>
        </w:tc>
      </w:tr>
      <w:tr w:rsidR="004643A4" w14:paraId="3736527B" w14:textId="77777777" w:rsidTr="003032EC">
        <w:trPr>
          <w:jc w:val="center"/>
        </w:trPr>
        <w:tc>
          <w:tcPr>
            <w:tcW w:w="5040" w:type="dxa"/>
            <w:vAlign w:val="center"/>
          </w:tcPr>
          <w:p w14:paraId="2190627E" w14:textId="77777777" w:rsidR="004643A4" w:rsidRDefault="004643A4" w:rsidP="003032EC">
            <w:pPr>
              <w:jc w:val="center"/>
            </w:pPr>
            <w:r>
              <w:t>8–14 days</w:t>
            </w:r>
          </w:p>
        </w:tc>
        <w:tc>
          <w:tcPr>
            <w:tcW w:w="5040" w:type="dxa"/>
            <w:vAlign w:val="center"/>
          </w:tcPr>
          <w:p w14:paraId="3B1F34B8" w14:textId="77777777" w:rsidR="004643A4" w:rsidRDefault="004643A4" w:rsidP="003032EC">
            <w:pPr>
              <w:jc w:val="center"/>
            </w:pPr>
            <w:r>
              <w:t>21.43%</w:t>
            </w:r>
          </w:p>
        </w:tc>
      </w:tr>
      <w:tr w:rsidR="004643A4" w14:paraId="5CAA0BE2" w14:textId="77777777" w:rsidTr="003032EC">
        <w:trPr>
          <w:jc w:val="center"/>
        </w:trPr>
        <w:tc>
          <w:tcPr>
            <w:tcW w:w="5040" w:type="dxa"/>
            <w:vAlign w:val="center"/>
          </w:tcPr>
          <w:p w14:paraId="3A071825" w14:textId="77777777" w:rsidR="004643A4" w:rsidRDefault="004643A4" w:rsidP="003032EC">
            <w:pPr>
              <w:jc w:val="center"/>
            </w:pPr>
            <w:r>
              <w:t>15–30 days</w:t>
            </w:r>
          </w:p>
        </w:tc>
        <w:tc>
          <w:tcPr>
            <w:tcW w:w="5040" w:type="dxa"/>
            <w:vAlign w:val="center"/>
          </w:tcPr>
          <w:p w14:paraId="3D3606A7" w14:textId="77777777" w:rsidR="004643A4" w:rsidRDefault="004643A4" w:rsidP="003032EC">
            <w:pPr>
              <w:jc w:val="center"/>
            </w:pPr>
            <w:r>
              <w:t>25.89%</w:t>
            </w:r>
          </w:p>
        </w:tc>
      </w:tr>
      <w:tr w:rsidR="004643A4" w14:paraId="1A8C1D0C" w14:textId="77777777" w:rsidTr="003032EC">
        <w:trPr>
          <w:jc w:val="center"/>
        </w:trPr>
        <w:tc>
          <w:tcPr>
            <w:tcW w:w="5040" w:type="dxa"/>
            <w:vAlign w:val="center"/>
          </w:tcPr>
          <w:p w14:paraId="0296C76E" w14:textId="77777777" w:rsidR="004643A4" w:rsidRDefault="004643A4" w:rsidP="003032EC">
            <w:pPr>
              <w:jc w:val="center"/>
            </w:pPr>
            <w:r>
              <w:t>31+ days</w:t>
            </w:r>
          </w:p>
        </w:tc>
        <w:tc>
          <w:tcPr>
            <w:tcW w:w="5040" w:type="dxa"/>
            <w:vAlign w:val="center"/>
          </w:tcPr>
          <w:p w14:paraId="6D6D70C5" w14:textId="77777777" w:rsidR="004643A4" w:rsidRDefault="004643A4" w:rsidP="003032EC">
            <w:pPr>
              <w:jc w:val="center"/>
            </w:pPr>
            <w:r>
              <w:t>31.86%</w:t>
            </w:r>
          </w:p>
        </w:tc>
      </w:tr>
    </w:tbl>
    <w:p w14:paraId="0C4319EC" w14:textId="77777777" w:rsidR="004643A4" w:rsidRDefault="004643A4" w:rsidP="004643A4"/>
    <w:p w14:paraId="05462DEE" w14:textId="77777777" w:rsidR="004643A4" w:rsidRDefault="004643A4" w:rsidP="004643A4">
      <w:pPr>
        <w:spacing w:after="120" w:line="259" w:lineRule="auto"/>
      </w:pPr>
      <w:r>
        <w:t>Analytical insight: churn increases from 19.00% among customers who logged in within the last 7 days to 31.86% among customers whose last login was 31 or more days ago. The difference is 12.86 percentage points.</w:t>
      </w:r>
    </w:p>
    <w:p w14:paraId="705CC9F7" w14:textId="77777777" w:rsidR="004643A4" w:rsidRDefault="004643A4" w:rsidP="004643A4">
      <w:pPr>
        <w:spacing w:after="120" w:line="259" w:lineRule="auto"/>
      </w:pPr>
      <w:r>
        <w:t>Storytelling point: the visual suggests a consistent upward pattern as login recency decreases. This is an observational pattern and should not be interpreted as a causal effect.</w:t>
      </w:r>
    </w:p>
    <w:p w14:paraId="32BD0603" w14:textId="77777777" w:rsidR="004643A4" w:rsidRDefault="004643A4" w:rsidP="004643A4">
      <w:r>
        <w:br w:type="page"/>
      </w:r>
    </w:p>
    <w:p w14:paraId="76DEF80A" w14:textId="189C6F8B" w:rsidR="004643A4" w:rsidRDefault="004643A4">
      <w:pPr>
        <w:pStyle w:val="Heading1"/>
        <w:spacing w:before="160" w:after="100"/>
      </w:pPr>
    </w:p>
    <w:p w14:paraId="6B63155E" w14:textId="1335E85D" w:rsidR="0012529F" w:rsidRDefault="00000000">
      <w:pPr>
        <w:pStyle w:val="Heading1"/>
        <w:spacing w:before="160" w:after="100"/>
      </w:pPr>
      <w:r>
        <w:t>1</w:t>
      </w:r>
      <w:r w:rsidR="004643A4">
        <w:t>1</w:t>
      </w:r>
      <w:r>
        <w:t>. Churn Rate by Support Calls</w:t>
      </w:r>
    </w:p>
    <w:p w14:paraId="53379F73" w14:textId="77777777" w:rsidR="0012529F" w:rsidRDefault="00000000">
      <w:pPr>
        <w:jc w:val="center"/>
      </w:pPr>
      <w:r>
        <w:rPr>
          <w:noProof/>
        </w:rPr>
        <w:drawing>
          <wp:inline distT="0" distB="0" distL="0" distR="0" wp14:anchorId="66A93C8F" wp14:editId="0585161D">
            <wp:extent cx="5577840" cy="3106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upport.png"/>
                    <pic:cNvPicPr/>
                  </pic:nvPicPr>
                  <pic:blipFill>
                    <a:blip r:embed="rId14"/>
                    <a:stretch>
                      <a:fillRect/>
                    </a:stretch>
                  </pic:blipFill>
                  <pic:spPr>
                    <a:xfrm>
                      <a:off x="0" y="0"/>
                      <a:ext cx="5577840" cy="3106934"/>
                    </a:xfrm>
                    <a:prstGeom prst="rect">
                      <a:avLst/>
                    </a:prstGeom>
                  </pic:spPr>
                </pic:pic>
              </a:graphicData>
            </a:graphic>
          </wp:inline>
        </w:drawing>
      </w:r>
    </w:p>
    <w:p w14:paraId="17ECD2A0" w14:textId="77777777" w:rsidR="0012529F" w:rsidRDefault="00000000">
      <w:pPr>
        <w:jc w:val="center"/>
      </w:pPr>
      <w:r>
        <w:rPr>
          <w:i/>
          <w:sz w:val="18"/>
        </w:rPr>
        <w:t>Figure 6. Churn rate by support-call group.</w:t>
      </w:r>
    </w:p>
    <w:tbl>
      <w:tblPr>
        <w:tblStyle w:val="TableGrid"/>
        <w:tblW w:w="0" w:type="auto"/>
        <w:jc w:val="center"/>
        <w:tblLook w:val="04A0" w:firstRow="1" w:lastRow="0" w:firstColumn="1" w:lastColumn="0" w:noHBand="0" w:noVBand="1"/>
      </w:tblPr>
      <w:tblGrid>
        <w:gridCol w:w="5040"/>
        <w:gridCol w:w="5040"/>
      </w:tblGrid>
      <w:tr w:rsidR="0012529F" w14:paraId="4169D68A" w14:textId="77777777">
        <w:trPr>
          <w:jc w:val="center"/>
        </w:trPr>
        <w:tc>
          <w:tcPr>
            <w:tcW w:w="5040" w:type="dxa"/>
            <w:vAlign w:val="center"/>
          </w:tcPr>
          <w:p w14:paraId="7359016A" w14:textId="77777777" w:rsidR="0012529F" w:rsidRDefault="00000000">
            <w:pPr>
              <w:jc w:val="center"/>
            </w:pPr>
            <w:r>
              <w:rPr>
                <w:b/>
              </w:rPr>
              <w:t>Support Call Group</w:t>
            </w:r>
          </w:p>
        </w:tc>
        <w:tc>
          <w:tcPr>
            <w:tcW w:w="5040" w:type="dxa"/>
            <w:vAlign w:val="center"/>
          </w:tcPr>
          <w:p w14:paraId="38982FAD" w14:textId="77777777" w:rsidR="0012529F" w:rsidRDefault="00000000">
            <w:pPr>
              <w:jc w:val="center"/>
            </w:pPr>
            <w:r>
              <w:rPr>
                <w:b/>
              </w:rPr>
              <w:t>Churn Rate</w:t>
            </w:r>
          </w:p>
        </w:tc>
      </w:tr>
      <w:tr w:rsidR="0012529F" w14:paraId="70DAD385" w14:textId="77777777">
        <w:trPr>
          <w:jc w:val="center"/>
        </w:trPr>
        <w:tc>
          <w:tcPr>
            <w:tcW w:w="5040" w:type="dxa"/>
            <w:vAlign w:val="center"/>
          </w:tcPr>
          <w:p w14:paraId="14584C0B" w14:textId="77777777" w:rsidR="0012529F" w:rsidRDefault="00000000">
            <w:pPr>
              <w:jc w:val="center"/>
            </w:pPr>
            <w:r>
              <w:t>None</w:t>
            </w:r>
          </w:p>
        </w:tc>
        <w:tc>
          <w:tcPr>
            <w:tcW w:w="5040" w:type="dxa"/>
            <w:vAlign w:val="center"/>
          </w:tcPr>
          <w:p w14:paraId="1A6A08A8" w14:textId="77777777" w:rsidR="0012529F" w:rsidRDefault="00000000">
            <w:pPr>
              <w:jc w:val="center"/>
            </w:pPr>
            <w:r>
              <w:t>18.78%</w:t>
            </w:r>
          </w:p>
        </w:tc>
      </w:tr>
      <w:tr w:rsidR="0012529F" w14:paraId="3713A3D1" w14:textId="77777777">
        <w:trPr>
          <w:jc w:val="center"/>
        </w:trPr>
        <w:tc>
          <w:tcPr>
            <w:tcW w:w="5040" w:type="dxa"/>
            <w:vAlign w:val="center"/>
          </w:tcPr>
          <w:p w14:paraId="15F181E4" w14:textId="77777777" w:rsidR="0012529F" w:rsidRDefault="00000000">
            <w:pPr>
              <w:jc w:val="center"/>
            </w:pPr>
            <w:r>
              <w:t>1–2</w:t>
            </w:r>
          </w:p>
        </w:tc>
        <w:tc>
          <w:tcPr>
            <w:tcW w:w="5040" w:type="dxa"/>
            <w:vAlign w:val="center"/>
          </w:tcPr>
          <w:p w14:paraId="6D10C2F2" w14:textId="77777777" w:rsidR="0012529F" w:rsidRDefault="00000000">
            <w:pPr>
              <w:jc w:val="center"/>
            </w:pPr>
            <w:r>
              <w:t>21.15%</w:t>
            </w:r>
          </w:p>
        </w:tc>
      </w:tr>
      <w:tr w:rsidR="0012529F" w14:paraId="6B2F6B03" w14:textId="77777777">
        <w:trPr>
          <w:jc w:val="center"/>
        </w:trPr>
        <w:tc>
          <w:tcPr>
            <w:tcW w:w="5040" w:type="dxa"/>
            <w:vAlign w:val="center"/>
          </w:tcPr>
          <w:p w14:paraId="078063F8" w14:textId="77777777" w:rsidR="0012529F" w:rsidRDefault="00000000">
            <w:pPr>
              <w:jc w:val="center"/>
            </w:pPr>
            <w:r>
              <w:t>3–5</w:t>
            </w:r>
          </w:p>
        </w:tc>
        <w:tc>
          <w:tcPr>
            <w:tcW w:w="5040" w:type="dxa"/>
            <w:vAlign w:val="center"/>
          </w:tcPr>
          <w:p w14:paraId="6387C8CE" w14:textId="77777777" w:rsidR="0012529F" w:rsidRDefault="00000000">
            <w:pPr>
              <w:jc w:val="center"/>
            </w:pPr>
            <w:r>
              <w:t>25.02%</w:t>
            </w:r>
          </w:p>
        </w:tc>
      </w:tr>
      <w:tr w:rsidR="0012529F" w14:paraId="035B82F7" w14:textId="77777777">
        <w:trPr>
          <w:jc w:val="center"/>
        </w:trPr>
        <w:tc>
          <w:tcPr>
            <w:tcW w:w="5040" w:type="dxa"/>
            <w:vAlign w:val="center"/>
          </w:tcPr>
          <w:p w14:paraId="15294CAD" w14:textId="77777777" w:rsidR="0012529F" w:rsidRDefault="00000000">
            <w:pPr>
              <w:jc w:val="center"/>
            </w:pPr>
            <w:r>
              <w:t>6+</w:t>
            </w:r>
          </w:p>
        </w:tc>
        <w:tc>
          <w:tcPr>
            <w:tcW w:w="5040" w:type="dxa"/>
            <w:vAlign w:val="center"/>
          </w:tcPr>
          <w:p w14:paraId="6C6F429D" w14:textId="77777777" w:rsidR="0012529F" w:rsidRDefault="00000000">
            <w:pPr>
              <w:jc w:val="center"/>
            </w:pPr>
            <w:r>
              <w:t>35.02%</w:t>
            </w:r>
          </w:p>
        </w:tc>
      </w:tr>
    </w:tbl>
    <w:p w14:paraId="68BBF001" w14:textId="77777777" w:rsidR="0012529F" w:rsidRDefault="0012529F"/>
    <w:p w14:paraId="0CF35200" w14:textId="77777777" w:rsidR="0012529F" w:rsidRDefault="00000000">
      <w:pPr>
        <w:spacing w:after="120" w:line="259" w:lineRule="auto"/>
      </w:pPr>
      <w:r>
        <w:t>Analytical insight: churn increases from 18.78% for customers with no support calls to 35.02% for customers with 6 or more calls. This represents a 16.24 percentage-point difference. The pattern becomes progressively higher as the support-call group increases.</w:t>
      </w:r>
    </w:p>
    <w:p w14:paraId="6D9D723C" w14:textId="77777777" w:rsidR="0012529F" w:rsidRDefault="00000000">
      <w:pPr>
        <w:spacing w:after="120" w:line="259" w:lineRule="auto"/>
      </w:pPr>
      <w:r>
        <w:t>Storytelling point: support-call frequency is useful as an engagement/service-interaction measure. It should not be interpreted as evidence that support calls themselves cause customers to churn.</w:t>
      </w:r>
    </w:p>
    <w:p w14:paraId="4C345664" w14:textId="77777777" w:rsidR="0012529F" w:rsidRDefault="00000000">
      <w:r>
        <w:br w:type="page"/>
      </w:r>
    </w:p>
    <w:p w14:paraId="0EE31811" w14:textId="0DD176F2" w:rsidR="0012529F" w:rsidRDefault="00000000">
      <w:pPr>
        <w:pStyle w:val="Heading1"/>
        <w:spacing w:before="160" w:after="100"/>
      </w:pPr>
      <w:r>
        <w:lastRenderedPageBreak/>
        <w:t>1</w:t>
      </w:r>
      <w:r w:rsidR="006A476E">
        <w:t>2</w:t>
      </w:r>
      <w:r>
        <w:t>. Churn Rate by Monthly Charges</w:t>
      </w:r>
    </w:p>
    <w:p w14:paraId="391F0092" w14:textId="50933C43" w:rsidR="0012529F" w:rsidRDefault="004643A4">
      <w:pPr>
        <w:jc w:val="center"/>
      </w:pPr>
      <w:r>
        <w:rPr>
          <w:noProof/>
        </w:rPr>
        <w:drawing>
          <wp:inline distT="0" distB="0" distL="0" distR="0" wp14:anchorId="5654C785" wp14:editId="607AFF68">
            <wp:extent cx="6370064" cy="2804160"/>
            <wp:effectExtent l="0" t="0" r="0" b="0"/>
            <wp:docPr id="1260757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70064" cy="2804160"/>
                    </a:xfrm>
                    <a:prstGeom prst="rect">
                      <a:avLst/>
                    </a:prstGeom>
                    <a:noFill/>
                    <a:ln>
                      <a:noFill/>
                    </a:ln>
                  </pic:spPr>
                </pic:pic>
              </a:graphicData>
            </a:graphic>
          </wp:inline>
        </w:drawing>
      </w:r>
    </w:p>
    <w:p w14:paraId="7565A3F2" w14:textId="77777777" w:rsidR="0012529F" w:rsidRDefault="00000000">
      <w:pPr>
        <w:jc w:val="center"/>
      </w:pPr>
      <w:r>
        <w:rPr>
          <w:i/>
          <w:sz w:val="18"/>
        </w:rPr>
        <w:t>Figure 7. Churn rate by monthly-charge group.</w:t>
      </w:r>
    </w:p>
    <w:tbl>
      <w:tblPr>
        <w:tblStyle w:val="TableGrid"/>
        <w:tblW w:w="0" w:type="auto"/>
        <w:jc w:val="center"/>
        <w:tblLook w:val="04A0" w:firstRow="1" w:lastRow="0" w:firstColumn="1" w:lastColumn="0" w:noHBand="0" w:noVBand="1"/>
      </w:tblPr>
      <w:tblGrid>
        <w:gridCol w:w="5040"/>
        <w:gridCol w:w="5040"/>
      </w:tblGrid>
      <w:tr w:rsidR="0012529F" w14:paraId="3D64CBF3" w14:textId="77777777">
        <w:trPr>
          <w:jc w:val="center"/>
        </w:trPr>
        <w:tc>
          <w:tcPr>
            <w:tcW w:w="5040" w:type="dxa"/>
            <w:vAlign w:val="center"/>
          </w:tcPr>
          <w:p w14:paraId="574F82FC" w14:textId="77777777" w:rsidR="0012529F" w:rsidRDefault="00000000">
            <w:pPr>
              <w:jc w:val="center"/>
            </w:pPr>
            <w:r>
              <w:rPr>
                <w:b/>
              </w:rPr>
              <w:t>Monthly Charge Group</w:t>
            </w:r>
          </w:p>
        </w:tc>
        <w:tc>
          <w:tcPr>
            <w:tcW w:w="5040" w:type="dxa"/>
            <w:vAlign w:val="center"/>
          </w:tcPr>
          <w:p w14:paraId="2060D1FE" w14:textId="77777777" w:rsidR="0012529F" w:rsidRDefault="00000000">
            <w:pPr>
              <w:jc w:val="center"/>
            </w:pPr>
            <w:r>
              <w:rPr>
                <w:b/>
              </w:rPr>
              <w:t>Churn Rate</w:t>
            </w:r>
          </w:p>
        </w:tc>
      </w:tr>
      <w:tr w:rsidR="0012529F" w14:paraId="0EB068F5" w14:textId="77777777">
        <w:trPr>
          <w:jc w:val="center"/>
        </w:trPr>
        <w:tc>
          <w:tcPr>
            <w:tcW w:w="5040" w:type="dxa"/>
            <w:vAlign w:val="center"/>
          </w:tcPr>
          <w:p w14:paraId="5EF0F87A" w14:textId="77777777" w:rsidR="0012529F" w:rsidRDefault="00000000">
            <w:pPr>
              <w:jc w:val="center"/>
            </w:pPr>
            <w:r>
              <w:t>Low</w:t>
            </w:r>
          </w:p>
        </w:tc>
        <w:tc>
          <w:tcPr>
            <w:tcW w:w="5040" w:type="dxa"/>
            <w:vAlign w:val="center"/>
          </w:tcPr>
          <w:p w14:paraId="5D7939EF" w14:textId="5315F4A8" w:rsidR="0012529F" w:rsidRDefault="00000000">
            <w:pPr>
              <w:jc w:val="center"/>
            </w:pPr>
            <w:r>
              <w:t>1</w:t>
            </w:r>
            <w:r w:rsidR="004643A4">
              <w:t>3.71</w:t>
            </w:r>
            <w:r>
              <w:t>%</w:t>
            </w:r>
          </w:p>
        </w:tc>
      </w:tr>
      <w:tr w:rsidR="0012529F" w14:paraId="5470C310" w14:textId="77777777">
        <w:trPr>
          <w:jc w:val="center"/>
        </w:trPr>
        <w:tc>
          <w:tcPr>
            <w:tcW w:w="5040" w:type="dxa"/>
            <w:vAlign w:val="center"/>
          </w:tcPr>
          <w:p w14:paraId="20B73E65" w14:textId="77777777" w:rsidR="0012529F" w:rsidRDefault="00000000">
            <w:pPr>
              <w:jc w:val="center"/>
            </w:pPr>
            <w:r>
              <w:t>Medium</w:t>
            </w:r>
          </w:p>
        </w:tc>
        <w:tc>
          <w:tcPr>
            <w:tcW w:w="5040" w:type="dxa"/>
            <w:vAlign w:val="center"/>
          </w:tcPr>
          <w:p w14:paraId="30E175CB" w14:textId="69D4B2FB" w:rsidR="0012529F" w:rsidRDefault="00000000">
            <w:pPr>
              <w:jc w:val="center"/>
            </w:pPr>
            <w:r>
              <w:t>1</w:t>
            </w:r>
            <w:r w:rsidR="004643A4">
              <w:t>9</w:t>
            </w:r>
            <w:r>
              <w:t>.</w:t>
            </w:r>
            <w:r w:rsidR="004643A4">
              <w:t>00</w:t>
            </w:r>
            <w:r>
              <w:t>%</w:t>
            </w:r>
          </w:p>
        </w:tc>
      </w:tr>
      <w:tr w:rsidR="0012529F" w14:paraId="32259300" w14:textId="77777777">
        <w:trPr>
          <w:jc w:val="center"/>
        </w:trPr>
        <w:tc>
          <w:tcPr>
            <w:tcW w:w="5040" w:type="dxa"/>
            <w:vAlign w:val="center"/>
          </w:tcPr>
          <w:p w14:paraId="04F8203F" w14:textId="77777777" w:rsidR="0012529F" w:rsidRDefault="00000000">
            <w:pPr>
              <w:jc w:val="center"/>
            </w:pPr>
            <w:r>
              <w:t>High</w:t>
            </w:r>
          </w:p>
        </w:tc>
        <w:tc>
          <w:tcPr>
            <w:tcW w:w="5040" w:type="dxa"/>
            <w:vAlign w:val="center"/>
          </w:tcPr>
          <w:p w14:paraId="3DF9C5C9" w14:textId="77777777" w:rsidR="0012529F" w:rsidRDefault="00000000">
            <w:pPr>
              <w:jc w:val="center"/>
            </w:pPr>
            <w:r>
              <w:t>26.04%</w:t>
            </w:r>
          </w:p>
        </w:tc>
      </w:tr>
      <w:tr w:rsidR="0012529F" w14:paraId="274F05A3" w14:textId="77777777">
        <w:trPr>
          <w:jc w:val="center"/>
        </w:trPr>
        <w:tc>
          <w:tcPr>
            <w:tcW w:w="5040" w:type="dxa"/>
            <w:vAlign w:val="center"/>
          </w:tcPr>
          <w:p w14:paraId="66853ED0" w14:textId="77777777" w:rsidR="0012529F" w:rsidRDefault="00000000">
            <w:pPr>
              <w:jc w:val="center"/>
            </w:pPr>
            <w:r>
              <w:t>Very High</w:t>
            </w:r>
          </w:p>
        </w:tc>
        <w:tc>
          <w:tcPr>
            <w:tcW w:w="5040" w:type="dxa"/>
            <w:vAlign w:val="center"/>
          </w:tcPr>
          <w:p w14:paraId="20C7AD45" w14:textId="77777777" w:rsidR="0012529F" w:rsidRDefault="00000000">
            <w:pPr>
              <w:jc w:val="center"/>
            </w:pPr>
            <w:r>
              <w:t>31.21%</w:t>
            </w:r>
          </w:p>
        </w:tc>
      </w:tr>
    </w:tbl>
    <w:p w14:paraId="1D980254" w14:textId="77777777" w:rsidR="0012529F" w:rsidRDefault="0012529F"/>
    <w:p w14:paraId="6B9E0843" w14:textId="68FF0946" w:rsidR="0012529F" w:rsidRDefault="00000000">
      <w:pPr>
        <w:spacing w:after="120" w:line="259" w:lineRule="auto"/>
      </w:pPr>
      <w:r>
        <w:t>Analytical insight: churn increases from 1</w:t>
      </w:r>
      <w:r w:rsidR="004643A4">
        <w:t>3.71</w:t>
      </w:r>
      <w:r>
        <w:t xml:space="preserve"> in the low monthly-charge group to 31.21% in the very-high group. The difference is 1</w:t>
      </w:r>
      <w:r w:rsidR="004643A4">
        <w:t>7.51</w:t>
      </w:r>
      <w:r>
        <w:t xml:space="preserve"> percentage points. The two higher groups are above the overall 22.60% churn baseline.</w:t>
      </w:r>
    </w:p>
    <w:p w14:paraId="28AFD193" w14:textId="77777777" w:rsidR="0012529F" w:rsidRDefault="00000000">
      <w:pPr>
        <w:spacing w:after="120" w:line="259" w:lineRule="auto"/>
      </w:pPr>
      <w:r>
        <w:t>Storytelling point: the upward visual pattern makes the relationship easy to communicate, while the exact percentages prevent the story from relying only on visual height.</w:t>
      </w:r>
    </w:p>
    <w:p w14:paraId="7C07C925" w14:textId="77777777" w:rsidR="0012529F" w:rsidRDefault="00000000">
      <w:r>
        <w:br w:type="page"/>
      </w:r>
    </w:p>
    <w:p w14:paraId="51BC7AFD" w14:textId="48D566FB" w:rsidR="0012529F" w:rsidRDefault="00000000">
      <w:pPr>
        <w:pStyle w:val="Heading1"/>
        <w:spacing w:before="160" w:after="100"/>
      </w:pPr>
      <w:r>
        <w:lastRenderedPageBreak/>
        <w:t>1</w:t>
      </w:r>
      <w:r w:rsidR="006A476E">
        <w:t>3</w:t>
      </w:r>
      <w:r>
        <w:t>. Churn Rate by Internet Service</w:t>
      </w:r>
    </w:p>
    <w:p w14:paraId="46C72123" w14:textId="77777777" w:rsidR="0012529F" w:rsidRDefault="00000000">
      <w:pPr>
        <w:jc w:val="center"/>
      </w:pPr>
      <w:r>
        <w:rPr>
          <w:noProof/>
        </w:rPr>
        <w:drawing>
          <wp:inline distT="0" distB="0" distL="0" distR="0" wp14:anchorId="16F824D6" wp14:editId="48A9D120">
            <wp:extent cx="5577840" cy="31069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ternet.png"/>
                    <pic:cNvPicPr/>
                  </pic:nvPicPr>
                  <pic:blipFill>
                    <a:blip r:embed="rId16"/>
                    <a:stretch>
                      <a:fillRect/>
                    </a:stretch>
                  </pic:blipFill>
                  <pic:spPr>
                    <a:xfrm>
                      <a:off x="0" y="0"/>
                      <a:ext cx="5577840" cy="3106934"/>
                    </a:xfrm>
                    <a:prstGeom prst="rect">
                      <a:avLst/>
                    </a:prstGeom>
                  </pic:spPr>
                </pic:pic>
              </a:graphicData>
            </a:graphic>
          </wp:inline>
        </w:drawing>
      </w:r>
    </w:p>
    <w:p w14:paraId="604F24C3" w14:textId="77777777" w:rsidR="0012529F" w:rsidRDefault="00000000">
      <w:pPr>
        <w:jc w:val="center"/>
      </w:pPr>
      <w:r>
        <w:rPr>
          <w:i/>
          <w:sz w:val="18"/>
        </w:rPr>
        <w:t>Figure 8. Churn rate by internet service.</w:t>
      </w:r>
    </w:p>
    <w:tbl>
      <w:tblPr>
        <w:tblStyle w:val="TableGrid"/>
        <w:tblW w:w="0" w:type="auto"/>
        <w:jc w:val="center"/>
        <w:tblLook w:val="04A0" w:firstRow="1" w:lastRow="0" w:firstColumn="1" w:lastColumn="0" w:noHBand="0" w:noVBand="1"/>
      </w:tblPr>
      <w:tblGrid>
        <w:gridCol w:w="2520"/>
        <w:gridCol w:w="2520"/>
        <w:gridCol w:w="2520"/>
        <w:gridCol w:w="2520"/>
      </w:tblGrid>
      <w:tr w:rsidR="0012529F" w14:paraId="38023F79" w14:textId="77777777">
        <w:trPr>
          <w:jc w:val="center"/>
        </w:trPr>
        <w:tc>
          <w:tcPr>
            <w:tcW w:w="2520" w:type="dxa"/>
            <w:vAlign w:val="center"/>
          </w:tcPr>
          <w:p w14:paraId="57424001" w14:textId="77777777" w:rsidR="0012529F" w:rsidRDefault="00000000">
            <w:pPr>
              <w:jc w:val="center"/>
            </w:pPr>
            <w:r>
              <w:rPr>
                <w:b/>
              </w:rPr>
              <w:t>Internet Service</w:t>
            </w:r>
          </w:p>
        </w:tc>
        <w:tc>
          <w:tcPr>
            <w:tcW w:w="2520" w:type="dxa"/>
            <w:vAlign w:val="center"/>
          </w:tcPr>
          <w:p w14:paraId="239E472C" w14:textId="77777777" w:rsidR="0012529F" w:rsidRDefault="00000000">
            <w:pPr>
              <w:jc w:val="center"/>
            </w:pPr>
            <w:r>
              <w:rPr>
                <w:b/>
              </w:rPr>
              <w:t>Customers</w:t>
            </w:r>
          </w:p>
        </w:tc>
        <w:tc>
          <w:tcPr>
            <w:tcW w:w="2520" w:type="dxa"/>
            <w:vAlign w:val="center"/>
          </w:tcPr>
          <w:p w14:paraId="0A1D308A" w14:textId="77777777" w:rsidR="0012529F" w:rsidRDefault="00000000">
            <w:pPr>
              <w:jc w:val="center"/>
            </w:pPr>
            <w:r>
              <w:rPr>
                <w:b/>
              </w:rPr>
              <w:t>Churned</w:t>
            </w:r>
          </w:p>
        </w:tc>
        <w:tc>
          <w:tcPr>
            <w:tcW w:w="2520" w:type="dxa"/>
            <w:vAlign w:val="center"/>
          </w:tcPr>
          <w:p w14:paraId="1CDBD189" w14:textId="77777777" w:rsidR="0012529F" w:rsidRDefault="00000000">
            <w:pPr>
              <w:jc w:val="center"/>
            </w:pPr>
            <w:r>
              <w:rPr>
                <w:b/>
              </w:rPr>
              <w:t>Churn Rate</w:t>
            </w:r>
          </w:p>
        </w:tc>
      </w:tr>
      <w:tr w:rsidR="0012529F" w14:paraId="52908053" w14:textId="77777777">
        <w:trPr>
          <w:jc w:val="center"/>
        </w:trPr>
        <w:tc>
          <w:tcPr>
            <w:tcW w:w="2520" w:type="dxa"/>
            <w:vAlign w:val="center"/>
          </w:tcPr>
          <w:p w14:paraId="4949E278" w14:textId="77777777" w:rsidR="0012529F" w:rsidRDefault="00000000">
            <w:pPr>
              <w:jc w:val="center"/>
            </w:pPr>
            <w:r>
              <w:t>DSL</w:t>
            </w:r>
          </w:p>
        </w:tc>
        <w:tc>
          <w:tcPr>
            <w:tcW w:w="2520" w:type="dxa"/>
            <w:vAlign w:val="center"/>
          </w:tcPr>
          <w:p w14:paraId="3281E372" w14:textId="77777777" w:rsidR="0012529F" w:rsidRDefault="00000000">
            <w:pPr>
              <w:jc w:val="center"/>
            </w:pPr>
            <w:r>
              <w:t>3,733</w:t>
            </w:r>
          </w:p>
        </w:tc>
        <w:tc>
          <w:tcPr>
            <w:tcW w:w="2520" w:type="dxa"/>
            <w:vAlign w:val="center"/>
          </w:tcPr>
          <w:p w14:paraId="3BFF5BB0" w14:textId="77777777" w:rsidR="0012529F" w:rsidRDefault="00000000">
            <w:pPr>
              <w:jc w:val="center"/>
            </w:pPr>
            <w:r>
              <w:t>751</w:t>
            </w:r>
          </w:p>
        </w:tc>
        <w:tc>
          <w:tcPr>
            <w:tcW w:w="2520" w:type="dxa"/>
            <w:vAlign w:val="center"/>
          </w:tcPr>
          <w:p w14:paraId="4E6D4F85" w14:textId="77777777" w:rsidR="0012529F" w:rsidRDefault="00000000">
            <w:pPr>
              <w:jc w:val="center"/>
            </w:pPr>
            <w:r>
              <w:t>20.12%</w:t>
            </w:r>
          </w:p>
        </w:tc>
      </w:tr>
      <w:tr w:rsidR="0012529F" w14:paraId="484F6195" w14:textId="77777777">
        <w:trPr>
          <w:jc w:val="center"/>
        </w:trPr>
        <w:tc>
          <w:tcPr>
            <w:tcW w:w="2520" w:type="dxa"/>
            <w:vAlign w:val="center"/>
          </w:tcPr>
          <w:p w14:paraId="0C97D648" w14:textId="77777777" w:rsidR="0012529F" w:rsidRDefault="00000000">
            <w:pPr>
              <w:jc w:val="center"/>
            </w:pPr>
            <w:r>
              <w:t>Fiber Optic</w:t>
            </w:r>
          </w:p>
        </w:tc>
        <w:tc>
          <w:tcPr>
            <w:tcW w:w="2520" w:type="dxa"/>
            <w:vAlign w:val="center"/>
          </w:tcPr>
          <w:p w14:paraId="380451BD" w14:textId="77777777" w:rsidR="0012529F" w:rsidRDefault="00000000">
            <w:pPr>
              <w:jc w:val="center"/>
            </w:pPr>
            <w:r>
              <w:t>4,760</w:t>
            </w:r>
          </w:p>
        </w:tc>
        <w:tc>
          <w:tcPr>
            <w:tcW w:w="2520" w:type="dxa"/>
            <w:vAlign w:val="center"/>
          </w:tcPr>
          <w:p w14:paraId="18C08160" w14:textId="77777777" w:rsidR="0012529F" w:rsidRDefault="00000000">
            <w:pPr>
              <w:jc w:val="center"/>
            </w:pPr>
            <w:r>
              <w:t>1,210</w:t>
            </w:r>
          </w:p>
        </w:tc>
        <w:tc>
          <w:tcPr>
            <w:tcW w:w="2520" w:type="dxa"/>
            <w:vAlign w:val="center"/>
          </w:tcPr>
          <w:p w14:paraId="2C2FFED1" w14:textId="77777777" w:rsidR="0012529F" w:rsidRDefault="00000000">
            <w:pPr>
              <w:jc w:val="center"/>
            </w:pPr>
            <w:r>
              <w:t>25.42%</w:t>
            </w:r>
          </w:p>
        </w:tc>
      </w:tr>
    </w:tbl>
    <w:p w14:paraId="285F59D0" w14:textId="77777777" w:rsidR="0012529F" w:rsidRDefault="0012529F"/>
    <w:p w14:paraId="6D053B61" w14:textId="77777777" w:rsidR="0012529F" w:rsidRDefault="00000000">
      <w:pPr>
        <w:spacing w:after="120" w:line="259" w:lineRule="auto"/>
      </w:pPr>
      <w:r>
        <w:t>Analytical insight: Fiber Optic customers have a 25.42% churn rate compared with 20.12% for DSL customers, a difference of 5.30 percentage points. The Fiber Optic rate is also above the overall 22.60% baseline, whereas DSL is below it.</w:t>
      </w:r>
    </w:p>
    <w:p w14:paraId="7CC3E8A1" w14:textId="77777777" w:rsidR="0012529F" w:rsidRDefault="00000000">
      <w:pPr>
        <w:spacing w:after="120" w:line="259" w:lineRule="auto"/>
      </w:pPr>
      <w:r>
        <w:t>Storytelling point: this difference is smaller than the gaps observed for satisfaction, complaints or tenure. This illustrates why visual storytelling should consider both the direction and magnitude of differences.</w:t>
      </w:r>
    </w:p>
    <w:p w14:paraId="02C05404" w14:textId="77777777" w:rsidR="0012529F" w:rsidRDefault="00000000">
      <w:r>
        <w:br w:type="page"/>
      </w:r>
    </w:p>
    <w:p w14:paraId="3934CE0A" w14:textId="77777777" w:rsidR="0012529F" w:rsidRDefault="00000000">
      <w:pPr>
        <w:pStyle w:val="Heading1"/>
        <w:spacing w:before="160" w:after="100"/>
      </w:pPr>
      <w:r>
        <w:lastRenderedPageBreak/>
        <w:t>14. Combined Analysis: Contract Type and Tenure</w:t>
      </w:r>
    </w:p>
    <w:p w14:paraId="39D130AC" w14:textId="77777777" w:rsidR="0012529F" w:rsidRDefault="00000000">
      <w:pPr>
        <w:jc w:val="center"/>
      </w:pPr>
      <w:r>
        <w:rPr>
          <w:noProof/>
        </w:rPr>
        <w:drawing>
          <wp:inline distT="0" distB="0" distL="0" distR="0" wp14:anchorId="382863CC" wp14:editId="00895192">
            <wp:extent cx="5577840" cy="31069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bined.png"/>
                    <pic:cNvPicPr/>
                  </pic:nvPicPr>
                  <pic:blipFill>
                    <a:blip r:embed="rId17"/>
                    <a:stretch>
                      <a:fillRect/>
                    </a:stretch>
                  </pic:blipFill>
                  <pic:spPr>
                    <a:xfrm>
                      <a:off x="0" y="0"/>
                      <a:ext cx="5577840" cy="3106934"/>
                    </a:xfrm>
                    <a:prstGeom prst="rect">
                      <a:avLst/>
                    </a:prstGeom>
                  </pic:spPr>
                </pic:pic>
              </a:graphicData>
            </a:graphic>
          </wp:inline>
        </w:drawing>
      </w:r>
    </w:p>
    <w:p w14:paraId="29450490" w14:textId="77777777" w:rsidR="0012529F" w:rsidRDefault="00000000">
      <w:pPr>
        <w:jc w:val="center"/>
      </w:pPr>
      <w:r>
        <w:rPr>
          <w:i/>
          <w:sz w:val="18"/>
        </w:rPr>
        <w:t>Figure 10. Combined visual comparison highlighting the strongest segment observed.</w:t>
      </w:r>
    </w:p>
    <w:p w14:paraId="57CCC621" w14:textId="77777777" w:rsidR="0012529F" w:rsidRDefault="00000000">
      <w:pPr>
        <w:spacing w:after="120" w:line="259" w:lineRule="auto"/>
      </w:pPr>
      <w:r>
        <w:t>Single-variable charts are useful for identifying broad patterns, but combining variables can reveal stronger segments. In the analysis, the Month-to-Month + 0–12 months segment has an observed churn rate of approximately 52.87%. This is 30.27 percentage points above the overall 22.60% baseline.</w:t>
      </w:r>
    </w:p>
    <w:p w14:paraId="65D9B435" w14:textId="77777777" w:rsidR="0012529F" w:rsidRDefault="00000000">
      <w:pPr>
        <w:spacing w:after="120" w:line="259" w:lineRule="auto"/>
      </w:pPr>
      <w:r>
        <w:t>Analytical insight: the combined segment demonstrates why two-dimensional analysis can provide more specific context than looking at contract type or tenure separately. It does not mean that every customer in this segment will churn, nor does it establish that either variable causes churn.</w:t>
      </w:r>
    </w:p>
    <w:p w14:paraId="6BE33562" w14:textId="77777777" w:rsidR="0012529F" w:rsidRDefault="00000000">
      <w:pPr>
        <w:spacing w:after="120" w:line="259" w:lineRule="auto"/>
      </w:pPr>
      <w:r>
        <w:t>Storytelling point: the overall story becomes more specific when the analysis moves from a general baseline, to individual dimensions, and finally to a combined segment.</w:t>
      </w:r>
    </w:p>
    <w:p w14:paraId="0683F288" w14:textId="77777777" w:rsidR="0012529F" w:rsidRDefault="00000000">
      <w:r>
        <w:br w:type="page"/>
      </w:r>
    </w:p>
    <w:p w14:paraId="0EFBFDB0" w14:textId="77777777" w:rsidR="0012529F" w:rsidRDefault="00000000">
      <w:pPr>
        <w:pStyle w:val="Heading1"/>
        <w:spacing w:before="160" w:after="100"/>
      </w:pPr>
      <w:r>
        <w:lastRenderedPageBreak/>
        <w:t>15. Visual Storytelling</w:t>
      </w:r>
    </w:p>
    <w:p w14:paraId="743FF7D7" w14:textId="77777777" w:rsidR="0012529F" w:rsidRDefault="00000000">
      <w:pPr>
        <w:spacing w:after="120" w:line="259" w:lineRule="auto"/>
      </w:pPr>
      <w:r>
        <w:t>The charts were interpreted as a connected narrative rather than as isolated figures. The storytelling sequence begins with the overall churn baseline and then moves through the variables that show the clearest differences.</w:t>
      </w:r>
    </w:p>
    <w:tbl>
      <w:tblPr>
        <w:tblStyle w:val="TableGrid"/>
        <w:tblW w:w="0" w:type="auto"/>
        <w:jc w:val="center"/>
        <w:tblLook w:val="04A0" w:firstRow="1" w:lastRow="0" w:firstColumn="1" w:lastColumn="0" w:noHBand="0" w:noVBand="1"/>
      </w:tblPr>
      <w:tblGrid>
        <w:gridCol w:w="3360"/>
        <w:gridCol w:w="3360"/>
        <w:gridCol w:w="3360"/>
      </w:tblGrid>
      <w:tr w:rsidR="0012529F" w14:paraId="53531F9E" w14:textId="77777777">
        <w:trPr>
          <w:jc w:val="center"/>
        </w:trPr>
        <w:tc>
          <w:tcPr>
            <w:tcW w:w="3360" w:type="dxa"/>
            <w:vAlign w:val="center"/>
          </w:tcPr>
          <w:p w14:paraId="5513E811" w14:textId="77777777" w:rsidR="0012529F" w:rsidRDefault="00000000">
            <w:pPr>
              <w:jc w:val="center"/>
            </w:pPr>
            <w:r>
              <w:rPr>
                <w:b/>
              </w:rPr>
              <w:t>Stage</w:t>
            </w:r>
          </w:p>
        </w:tc>
        <w:tc>
          <w:tcPr>
            <w:tcW w:w="3360" w:type="dxa"/>
            <w:vAlign w:val="center"/>
          </w:tcPr>
          <w:p w14:paraId="77BAC2D7" w14:textId="77777777" w:rsidR="0012529F" w:rsidRDefault="00000000">
            <w:pPr>
              <w:jc w:val="center"/>
            </w:pPr>
            <w:r>
              <w:rPr>
                <w:b/>
              </w:rPr>
              <w:t>Evidence</w:t>
            </w:r>
          </w:p>
        </w:tc>
        <w:tc>
          <w:tcPr>
            <w:tcW w:w="3360" w:type="dxa"/>
            <w:vAlign w:val="center"/>
          </w:tcPr>
          <w:p w14:paraId="52D1BD2C" w14:textId="77777777" w:rsidR="0012529F" w:rsidRDefault="00000000">
            <w:pPr>
              <w:jc w:val="center"/>
            </w:pPr>
            <w:r>
              <w:rPr>
                <w:b/>
              </w:rPr>
              <w:t>Storytelling Role</w:t>
            </w:r>
          </w:p>
        </w:tc>
      </w:tr>
      <w:tr w:rsidR="0012529F" w14:paraId="4B0DF193" w14:textId="77777777">
        <w:trPr>
          <w:jc w:val="center"/>
        </w:trPr>
        <w:tc>
          <w:tcPr>
            <w:tcW w:w="3360" w:type="dxa"/>
            <w:vAlign w:val="center"/>
          </w:tcPr>
          <w:p w14:paraId="36F0DA0C" w14:textId="77777777" w:rsidR="0012529F" w:rsidRDefault="00000000">
            <w:pPr>
              <w:jc w:val="center"/>
            </w:pPr>
            <w:r>
              <w:t>Baseline</w:t>
            </w:r>
          </w:p>
        </w:tc>
        <w:tc>
          <w:tcPr>
            <w:tcW w:w="3360" w:type="dxa"/>
            <w:vAlign w:val="center"/>
          </w:tcPr>
          <w:p w14:paraId="50E9DC8B" w14:textId="77777777" w:rsidR="0012529F" w:rsidRDefault="00000000">
            <w:pPr>
              <w:jc w:val="center"/>
            </w:pPr>
            <w:r>
              <w:t>22.60% overall churn</w:t>
            </w:r>
          </w:p>
        </w:tc>
        <w:tc>
          <w:tcPr>
            <w:tcW w:w="3360" w:type="dxa"/>
            <w:vAlign w:val="center"/>
          </w:tcPr>
          <w:p w14:paraId="36BEA6B3" w14:textId="77777777" w:rsidR="0012529F" w:rsidRDefault="00000000">
            <w:pPr>
              <w:jc w:val="center"/>
            </w:pPr>
            <w:r>
              <w:t>Establishes the reference point</w:t>
            </w:r>
          </w:p>
        </w:tc>
      </w:tr>
      <w:tr w:rsidR="0012529F" w14:paraId="6B87FE0E" w14:textId="77777777">
        <w:trPr>
          <w:jc w:val="center"/>
        </w:trPr>
        <w:tc>
          <w:tcPr>
            <w:tcW w:w="3360" w:type="dxa"/>
            <w:vAlign w:val="center"/>
          </w:tcPr>
          <w:p w14:paraId="70F9785B" w14:textId="77777777" w:rsidR="0012529F" w:rsidRDefault="00000000">
            <w:pPr>
              <w:jc w:val="center"/>
            </w:pPr>
            <w:r>
              <w:t>Contract</w:t>
            </w:r>
          </w:p>
        </w:tc>
        <w:tc>
          <w:tcPr>
            <w:tcW w:w="3360" w:type="dxa"/>
            <w:vAlign w:val="center"/>
          </w:tcPr>
          <w:p w14:paraId="2D8B20BD" w14:textId="77777777" w:rsidR="0012529F" w:rsidRDefault="00000000">
            <w:pPr>
              <w:jc w:val="center"/>
            </w:pPr>
            <w:r>
              <w:t>30.65% month-to-month</w:t>
            </w:r>
          </w:p>
        </w:tc>
        <w:tc>
          <w:tcPr>
            <w:tcW w:w="3360" w:type="dxa"/>
            <w:vAlign w:val="center"/>
          </w:tcPr>
          <w:p w14:paraId="4D73B8DE" w14:textId="77777777" w:rsidR="0012529F" w:rsidRDefault="00000000">
            <w:pPr>
              <w:jc w:val="center"/>
            </w:pPr>
            <w:r>
              <w:t>Shows a clear contract-level difference</w:t>
            </w:r>
          </w:p>
        </w:tc>
      </w:tr>
      <w:tr w:rsidR="0012529F" w14:paraId="705C380E" w14:textId="77777777">
        <w:trPr>
          <w:jc w:val="center"/>
        </w:trPr>
        <w:tc>
          <w:tcPr>
            <w:tcW w:w="3360" w:type="dxa"/>
            <w:vAlign w:val="center"/>
          </w:tcPr>
          <w:p w14:paraId="5B2A3E05" w14:textId="77777777" w:rsidR="0012529F" w:rsidRDefault="00000000">
            <w:pPr>
              <w:jc w:val="center"/>
            </w:pPr>
            <w:r>
              <w:t>Tenure</w:t>
            </w:r>
          </w:p>
        </w:tc>
        <w:tc>
          <w:tcPr>
            <w:tcW w:w="3360" w:type="dxa"/>
            <w:vAlign w:val="center"/>
          </w:tcPr>
          <w:p w14:paraId="7E9A250C" w14:textId="77777777" w:rsidR="0012529F" w:rsidRDefault="00000000">
            <w:pPr>
              <w:jc w:val="center"/>
            </w:pPr>
            <w:r>
              <w:t>41.01% at 0–12 months</w:t>
            </w:r>
          </w:p>
        </w:tc>
        <w:tc>
          <w:tcPr>
            <w:tcW w:w="3360" w:type="dxa"/>
            <w:vAlign w:val="center"/>
          </w:tcPr>
          <w:p w14:paraId="7A8C3863" w14:textId="77777777" w:rsidR="0012529F" w:rsidRDefault="00000000">
            <w:pPr>
              <w:jc w:val="center"/>
            </w:pPr>
            <w:r>
              <w:t>Highlights early-tenure churn</w:t>
            </w:r>
          </w:p>
        </w:tc>
      </w:tr>
      <w:tr w:rsidR="0012529F" w14:paraId="318B139B" w14:textId="77777777">
        <w:trPr>
          <w:jc w:val="center"/>
        </w:trPr>
        <w:tc>
          <w:tcPr>
            <w:tcW w:w="3360" w:type="dxa"/>
            <w:vAlign w:val="center"/>
          </w:tcPr>
          <w:p w14:paraId="1CDF684D" w14:textId="77777777" w:rsidR="0012529F" w:rsidRDefault="00000000">
            <w:pPr>
              <w:jc w:val="center"/>
            </w:pPr>
            <w:r>
              <w:t>Complaints</w:t>
            </w:r>
          </w:p>
        </w:tc>
        <w:tc>
          <w:tcPr>
            <w:tcW w:w="3360" w:type="dxa"/>
            <w:vAlign w:val="center"/>
          </w:tcPr>
          <w:p w14:paraId="41B10526" w14:textId="06D04440" w:rsidR="0012529F" w:rsidRDefault="00000000">
            <w:pPr>
              <w:jc w:val="center"/>
            </w:pPr>
            <w:r>
              <w:t>51.</w:t>
            </w:r>
            <w:r w:rsidR="003511CF">
              <w:t>32</w:t>
            </w:r>
            <w:r>
              <w:t>% at 5+</w:t>
            </w:r>
          </w:p>
        </w:tc>
        <w:tc>
          <w:tcPr>
            <w:tcW w:w="3360" w:type="dxa"/>
            <w:vAlign w:val="center"/>
          </w:tcPr>
          <w:p w14:paraId="3F1F5EF8" w14:textId="77777777" w:rsidR="0012529F" w:rsidRDefault="00000000">
            <w:pPr>
              <w:jc w:val="center"/>
            </w:pPr>
            <w:r>
              <w:t>Shows a strong complaint-group difference</w:t>
            </w:r>
          </w:p>
        </w:tc>
      </w:tr>
      <w:tr w:rsidR="0012529F" w14:paraId="76F5FFDB" w14:textId="77777777">
        <w:trPr>
          <w:jc w:val="center"/>
        </w:trPr>
        <w:tc>
          <w:tcPr>
            <w:tcW w:w="3360" w:type="dxa"/>
            <w:vAlign w:val="center"/>
          </w:tcPr>
          <w:p w14:paraId="3F7BEE09" w14:textId="77777777" w:rsidR="0012529F" w:rsidRDefault="00000000">
            <w:pPr>
              <w:jc w:val="center"/>
            </w:pPr>
            <w:r>
              <w:t>Satisfaction</w:t>
            </w:r>
          </w:p>
        </w:tc>
        <w:tc>
          <w:tcPr>
            <w:tcW w:w="3360" w:type="dxa"/>
            <w:vAlign w:val="center"/>
          </w:tcPr>
          <w:p w14:paraId="1067A91D" w14:textId="04B23D9B" w:rsidR="0012529F" w:rsidRDefault="00000000">
            <w:pPr>
              <w:jc w:val="center"/>
            </w:pPr>
            <w:r>
              <w:t>5</w:t>
            </w:r>
            <w:r w:rsidR="003511CF">
              <w:t>4</w:t>
            </w:r>
            <w:r>
              <w:t>.</w:t>
            </w:r>
            <w:r w:rsidR="003511CF">
              <w:t>41</w:t>
            </w:r>
            <w:r>
              <w:t>% low satisfaction</w:t>
            </w:r>
          </w:p>
        </w:tc>
        <w:tc>
          <w:tcPr>
            <w:tcW w:w="3360" w:type="dxa"/>
            <w:vAlign w:val="center"/>
          </w:tcPr>
          <w:p w14:paraId="73CF68D7" w14:textId="77777777" w:rsidR="0012529F" w:rsidRDefault="00000000">
            <w:pPr>
              <w:jc w:val="center"/>
            </w:pPr>
            <w:r>
              <w:t>Shows the largest single-group rate</w:t>
            </w:r>
          </w:p>
        </w:tc>
      </w:tr>
      <w:tr w:rsidR="0012529F" w14:paraId="1C780613" w14:textId="77777777">
        <w:trPr>
          <w:jc w:val="center"/>
        </w:trPr>
        <w:tc>
          <w:tcPr>
            <w:tcW w:w="3360" w:type="dxa"/>
            <w:vAlign w:val="center"/>
          </w:tcPr>
          <w:p w14:paraId="56656939" w14:textId="77777777" w:rsidR="0012529F" w:rsidRDefault="00000000">
            <w:pPr>
              <w:jc w:val="center"/>
            </w:pPr>
            <w:r>
              <w:t>Support</w:t>
            </w:r>
          </w:p>
        </w:tc>
        <w:tc>
          <w:tcPr>
            <w:tcW w:w="3360" w:type="dxa"/>
            <w:vAlign w:val="center"/>
          </w:tcPr>
          <w:p w14:paraId="0B828282" w14:textId="77777777" w:rsidR="0012529F" w:rsidRDefault="00000000">
            <w:pPr>
              <w:jc w:val="center"/>
            </w:pPr>
            <w:r>
              <w:t>35.02% at 6+</w:t>
            </w:r>
          </w:p>
        </w:tc>
        <w:tc>
          <w:tcPr>
            <w:tcW w:w="3360" w:type="dxa"/>
            <w:vAlign w:val="center"/>
          </w:tcPr>
          <w:p w14:paraId="28D55DB1" w14:textId="77777777" w:rsidR="0012529F" w:rsidRDefault="00000000">
            <w:pPr>
              <w:jc w:val="center"/>
            </w:pPr>
            <w:r>
              <w:t>Adds service-interaction context</w:t>
            </w:r>
          </w:p>
        </w:tc>
      </w:tr>
      <w:tr w:rsidR="0012529F" w14:paraId="2F71A866" w14:textId="77777777">
        <w:trPr>
          <w:jc w:val="center"/>
        </w:trPr>
        <w:tc>
          <w:tcPr>
            <w:tcW w:w="3360" w:type="dxa"/>
            <w:vAlign w:val="center"/>
          </w:tcPr>
          <w:p w14:paraId="438DD846" w14:textId="77777777" w:rsidR="0012529F" w:rsidRDefault="00000000">
            <w:pPr>
              <w:jc w:val="center"/>
            </w:pPr>
            <w:r>
              <w:t>Charges</w:t>
            </w:r>
          </w:p>
        </w:tc>
        <w:tc>
          <w:tcPr>
            <w:tcW w:w="3360" w:type="dxa"/>
            <w:vAlign w:val="center"/>
          </w:tcPr>
          <w:p w14:paraId="33AED94F" w14:textId="77777777" w:rsidR="0012529F" w:rsidRDefault="00000000">
            <w:pPr>
              <w:jc w:val="center"/>
            </w:pPr>
            <w:r>
              <w:t>31.21% very high</w:t>
            </w:r>
          </w:p>
        </w:tc>
        <w:tc>
          <w:tcPr>
            <w:tcW w:w="3360" w:type="dxa"/>
            <w:vAlign w:val="center"/>
          </w:tcPr>
          <w:p w14:paraId="55D38A68" w14:textId="77777777" w:rsidR="0012529F" w:rsidRDefault="00000000">
            <w:pPr>
              <w:jc w:val="center"/>
            </w:pPr>
            <w:r>
              <w:t>Adds a financial/usage dimension</w:t>
            </w:r>
          </w:p>
        </w:tc>
      </w:tr>
      <w:tr w:rsidR="0012529F" w14:paraId="5802EAAE" w14:textId="77777777">
        <w:trPr>
          <w:jc w:val="center"/>
        </w:trPr>
        <w:tc>
          <w:tcPr>
            <w:tcW w:w="3360" w:type="dxa"/>
            <w:vAlign w:val="center"/>
          </w:tcPr>
          <w:p w14:paraId="36562B1F" w14:textId="77777777" w:rsidR="0012529F" w:rsidRDefault="00000000">
            <w:pPr>
              <w:jc w:val="center"/>
            </w:pPr>
            <w:r>
              <w:t>Internet</w:t>
            </w:r>
          </w:p>
        </w:tc>
        <w:tc>
          <w:tcPr>
            <w:tcW w:w="3360" w:type="dxa"/>
            <w:vAlign w:val="center"/>
          </w:tcPr>
          <w:p w14:paraId="22C1047A" w14:textId="77777777" w:rsidR="0012529F" w:rsidRDefault="00000000">
            <w:pPr>
              <w:jc w:val="center"/>
            </w:pPr>
            <w:r>
              <w:t>25.42% Fiber Optic</w:t>
            </w:r>
          </w:p>
        </w:tc>
        <w:tc>
          <w:tcPr>
            <w:tcW w:w="3360" w:type="dxa"/>
            <w:vAlign w:val="center"/>
          </w:tcPr>
          <w:p w14:paraId="61D58958" w14:textId="77777777" w:rsidR="0012529F" w:rsidRDefault="00000000">
            <w:pPr>
              <w:jc w:val="center"/>
            </w:pPr>
            <w:r>
              <w:t>Shows a smaller service-type difference</w:t>
            </w:r>
          </w:p>
        </w:tc>
      </w:tr>
      <w:tr w:rsidR="0012529F" w14:paraId="66ED7AF6" w14:textId="77777777">
        <w:trPr>
          <w:jc w:val="center"/>
        </w:trPr>
        <w:tc>
          <w:tcPr>
            <w:tcW w:w="3360" w:type="dxa"/>
            <w:vAlign w:val="center"/>
          </w:tcPr>
          <w:p w14:paraId="02F1FCC4" w14:textId="77777777" w:rsidR="0012529F" w:rsidRDefault="00000000">
            <w:pPr>
              <w:jc w:val="center"/>
            </w:pPr>
            <w:r>
              <w:t>Last Login</w:t>
            </w:r>
          </w:p>
        </w:tc>
        <w:tc>
          <w:tcPr>
            <w:tcW w:w="3360" w:type="dxa"/>
            <w:vAlign w:val="center"/>
          </w:tcPr>
          <w:p w14:paraId="187A9FBB" w14:textId="77777777" w:rsidR="0012529F" w:rsidRDefault="00000000">
            <w:pPr>
              <w:jc w:val="center"/>
            </w:pPr>
            <w:r>
              <w:t>31.86% at 31+ days</w:t>
            </w:r>
          </w:p>
        </w:tc>
        <w:tc>
          <w:tcPr>
            <w:tcW w:w="3360" w:type="dxa"/>
            <w:vAlign w:val="center"/>
          </w:tcPr>
          <w:p w14:paraId="334E8913" w14:textId="77777777" w:rsidR="0012529F" w:rsidRDefault="00000000">
            <w:pPr>
              <w:jc w:val="center"/>
            </w:pPr>
            <w:r>
              <w:t>Adds engagement context</w:t>
            </w:r>
          </w:p>
        </w:tc>
      </w:tr>
      <w:tr w:rsidR="0012529F" w14:paraId="7724AFAE" w14:textId="77777777">
        <w:trPr>
          <w:jc w:val="center"/>
        </w:trPr>
        <w:tc>
          <w:tcPr>
            <w:tcW w:w="3360" w:type="dxa"/>
            <w:vAlign w:val="center"/>
          </w:tcPr>
          <w:p w14:paraId="3F932022" w14:textId="77777777" w:rsidR="0012529F" w:rsidRDefault="00000000">
            <w:pPr>
              <w:jc w:val="center"/>
            </w:pPr>
            <w:r>
              <w:t>Combined</w:t>
            </w:r>
          </w:p>
        </w:tc>
        <w:tc>
          <w:tcPr>
            <w:tcW w:w="3360" w:type="dxa"/>
            <w:vAlign w:val="center"/>
          </w:tcPr>
          <w:p w14:paraId="0A44A05B" w14:textId="77777777" w:rsidR="0012529F" w:rsidRDefault="00000000">
            <w:pPr>
              <w:jc w:val="center"/>
            </w:pPr>
            <w:r>
              <w:t>52.87% M2M + 0–12 months</w:t>
            </w:r>
          </w:p>
        </w:tc>
        <w:tc>
          <w:tcPr>
            <w:tcW w:w="3360" w:type="dxa"/>
            <w:vAlign w:val="center"/>
          </w:tcPr>
          <w:p w14:paraId="05C87B09" w14:textId="77777777" w:rsidR="0012529F" w:rsidRDefault="00000000">
            <w:pPr>
              <w:jc w:val="center"/>
            </w:pPr>
            <w:r>
              <w:t>Demonstrates multi-variable storytelling</w:t>
            </w:r>
          </w:p>
        </w:tc>
      </w:tr>
    </w:tbl>
    <w:p w14:paraId="557494E1" w14:textId="77777777" w:rsidR="0012529F" w:rsidRDefault="0012529F"/>
    <w:p w14:paraId="74806084" w14:textId="77777777" w:rsidR="0012529F" w:rsidRDefault="00000000">
      <w:pPr>
        <w:spacing w:after="120" w:line="259" w:lineRule="auto"/>
      </w:pPr>
      <w:r>
        <w:t>The numerical evidence is intentionally included alongside charts. This prevents the report from relying only on visual impressions and makes comparisons such as 57.14% versus 18.63% or 41.01% versus 10.84% explicit.</w:t>
      </w:r>
    </w:p>
    <w:p w14:paraId="7C038D8D" w14:textId="77777777" w:rsidR="0012529F" w:rsidRDefault="00000000">
      <w:r>
        <w:br w:type="page"/>
      </w:r>
    </w:p>
    <w:p w14:paraId="2F5A661D" w14:textId="77777777" w:rsidR="0012529F" w:rsidRDefault="00000000">
      <w:pPr>
        <w:pStyle w:val="Heading1"/>
        <w:spacing w:before="160" w:after="100"/>
      </w:pPr>
      <w:r>
        <w:lastRenderedPageBreak/>
        <w:t>16. Key Analytical Findings</w:t>
      </w:r>
    </w:p>
    <w:tbl>
      <w:tblPr>
        <w:tblStyle w:val="TableGrid"/>
        <w:tblW w:w="0" w:type="auto"/>
        <w:jc w:val="center"/>
        <w:tblLook w:val="04A0" w:firstRow="1" w:lastRow="0" w:firstColumn="1" w:lastColumn="0" w:noHBand="0" w:noVBand="1"/>
      </w:tblPr>
      <w:tblGrid>
        <w:gridCol w:w="3360"/>
        <w:gridCol w:w="3360"/>
        <w:gridCol w:w="3360"/>
      </w:tblGrid>
      <w:tr w:rsidR="0012529F" w14:paraId="6CE98A73" w14:textId="77777777">
        <w:trPr>
          <w:jc w:val="center"/>
        </w:trPr>
        <w:tc>
          <w:tcPr>
            <w:tcW w:w="3360" w:type="dxa"/>
            <w:vAlign w:val="center"/>
          </w:tcPr>
          <w:p w14:paraId="3A0C452C" w14:textId="77777777" w:rsidR="0012529F" w:rsidRDefault="00000000">
            <w:pPr>
              <w:jc w:val="center"/>
            </w:pPr>
            <w:r>
              <w:rPr>
                <w:b/>
              </w:rPr>
              <w:t>Analysis Area</w:t>
            </w:r>
          </w:p>
        </w:tc>
        <w:tc>
          <w:tcPr>
            <w:tcW w:w="3360" w:type="dxa"/>
            <w:vAlign w:val="center"/>
          </w:tcPr>
          <w:p w14:paraId="03C66C46" w14:textId="77777777" w:rsidR="0012529F" w:rsidRDefault="00000000">
            <w:pPr>
              <w:jc w:val="center"/>
            </w:pPr>
            <w:r>
              <w:rPr>
                <w:b/>
              </w:rPr>
              <w:t>Key Evidence</w:t>
            </w:r>
          </w:p>
        </w:tc>
        <w:tc>
          <w:tcPr>
            <w:tcW w:w="3360" w:type="dxa"/>
            <w:vAlign w:val="center"/>
          </w:tcPr>
          <w:p w14:paraId="6E347140" w14:textId="77777777" w:rsidR="0012529F" w:rsidRDefault="00000000">
            <w:pPr>
              <w:jc w:val="center"/>
            </w:pPr>
            <w:r>
              <w:rPr>
                <w:b/>
              </w:rPr>
              <w:t>Difference / Comparison</w:t>
            </w:r>
          </w:p>
        </w:tc>
      </w:tr>
      <w:tr w:rsidR="0012529F" w14:paraId="2700BA41" w14:textId="77777777">
        <w:trPr>
          <w:jc w:val="center"/>
        </w:trPr>
        <w:tc>
          <w:tcPr>
            <w:tcW w:w="3360" w:type="dxa"/>
            <w:vAlign w:val="center"/>
          </w:tcPr>
          <w:p w14:paraId="567154B0" w14:textId="77777777" w:rsidR="0012529F" w:rsidRDefault="00000000">
            <w:pPr>
              <w:jc w:val="center"/>
            </w:pPr>
            <w:r>
              <w:t>Overall churn</w:t>
            </w:r>
          </w:p>
        </w:tc>
        <w:tc>
          <w:tcPr>
            <w:tcW w:w="3360" w:type="dxa"/>
            <w:vAlign w:val="center"/>
          </w:tcPr>
          <w:p w14:paraId="54CAC7F7" w14:textId="77777777" w:rsidR="0012529F" w:rsidRDefault="00000000">
            <w:pPr>
              <w:jc w:val="center"/>
            </w:pPr>
            <w:r>
              <w:t>22.60%</w:t>
            </w:r>
          </w:p>
        </w:tc>
        <w:tc>
          <w:tcPr>
            <w:tcW w:w="3360" w:type="dxa"/>
            <w:vAlign w:val="center"/>
          </w:tcPr>
          <w:p w14:paraId="02663B61" w14:textId="77777777" w:rsidR="0012529F" w:rsidRDefault="00000000">
            <w:pPr>
              <w:jc w:val="center"/>
            </w:pPr>
            <w:r>
              <w:t>2,260 of 10,000 customers</w:t>
            </w:r>
          </w:p>
        </w:tc>
      </w:tr>
      <w:tr w:rsidR="0012529F" w14:paraId="7BAB521E" w14:textId="77777777">
        <w:trPr>
          <w:jc w:val="center"/>
        </w:trPr>
        <w:tc>
          <w:tcPr>
            <w:tcW w:w="3360" w:type="dxa"/>
            <w:vAlign w:val="center"/>
          </w:tcPr>
          <w:p w14:paraId="61F60410" w14:textId="77777777" w:rsidR="0012529F" w:rsidRDefault="00000000">
            <w:pPr>
              <w:jc w:val="center"/>
            </w:pPr>
            <w:r>
              <w:t>Contract type</w:t>
            </w:r>
          </w:p>
        </w:tc>
        <w:tc>
          <w:tcPr>
            <w:tcW w:w="3360" w:type="dxa"/>
            <w:vAlign w:val="center"/>
          </w:tcPr>
          <w:p w14:paraId="3606D05A" w14:textId="77777777" w:rsidR="0012529F" w:rsidRDefault="00000000">
            <w:pPr>
              <w:jc w:val="center"/>
            </w:pPr>
            <w:r>
              <w:t>30.65% M2M vs 9.59% two-year</w:t>
            </w:r>
          </w:p>
        </w:tc>
        <w:tc>
          <w:tcPr>
            <w:tcW w:w="3360" w:type="dxa"/>
            <w:vAlign w:val="center"/>
          </w:tcPr>
          <w:p w14:paraId="3E73CDCF" w14:textId="77777777" w:rsidR="0012529F" w:rsidRDefault="00000000">
            <w:pPr>
              <w:jc w:val="center"/>
            </w:pPr>
            <w:r>
              <w:t>21.06 percentage points</w:t>
            </w:r>
          </w:p>
        </w:tc>
      </w:tr>
      <w:tr w:rsidR="0012529F" w14:paraId="608A0879" w14:textId="77777777">
        <w:trPr>
          <w:jc w:val="center"/>
        </w:trPr>
        <w:tc>
          <w:tcPr>
            <w:tcW w:w="3360" w:type="dxa"/>
            <w:vAlign w:val="center"/>
          </w:tcPr>
          <w:p w14:paraId="767A3385" w14:textId="77777777" w:rsidR="0012529F" w:rsidRDefault="00000000">
            <w:pPr>
              <w:jc w:val="center"/>
            </w:pPr>
            <w:r>
              <w:t>Tenure</w:t>
            </w:r>
          </w:p>
        </w:tc>
        <w:tc>
          <w:tcPr>
            <w:tcW w:w="3360" w:type="dxa"/>
            <w:vAlign w:val="center"/>
          </w:tcPr>
          <w:p w14:paraId="49176170" w14:textId="77777777" w:rsidR="0012529F" w:rsidRDefault="00000000">
            <w:pPr>
              <w:jc w:val="center"/>
            </w:pPr>
            <w:r>
              <w:t>41.01% at 0–12 vs 10.84% at 49+</w:t>
            </w:r>
          </w:p>
        </w:tc>
        <w:tc>
          <w:tcPr>
            <w:tcW w:w="3360" w:type="dxa"/>
            <w:vAlign w:val="center"/>
          </w:tcPr>
          <w:p w14:paraId="2101E3BA" w14:textId="77777777" w:rsidR="0012529F" w:rsidRDefault="00000000">
            <w:pPr>
              <w:jc w:val="center"/>
            </w:pPr>
            <w:r>
              <w:t>30.17 percentage points</w:t>
            </w:r>
          </w:p>
        </w:tc>
      </w:tr>
      <w:tr w:rsidR="0012529F" w14:paraId="575FABBF" w14:textId="77777777">
        <w:trPr>
          <w:jc w:val="center"/>
        </w:trPr>
        <w:tc>
          <w:tcPr>
            <w:tcW w:w="3360" w:type="dxa"/>
            <w:vAlign w:val="center"/>
          </w:tcPr>
          <w:p w14:paraId="2A73E2C0" w14:textId="77777777" w:rsidR="0012529F" w:rsidRDefault="00000000">
            <w:pPr>
              <w:jc w:val="center"/>
            </w:pPr>
            <w:r>
              <w:t>Complaints</w:t>
            </w:r>
          </w:p>
        </w:tc>
        <w:tc>
          <w:tcPr>
            <w:tcW w:w="3360" w:type="dxa"/>
            <w:vAlign w:val="center"/>
          </w:tcPr>
          <w:p w14:paraId="3ACE9C98" w14:textId="77777777" w:rsidR="0012529F" w:rsidRDefault="00000000">
            <w:pPr>
              <w:jc w:val="center"/>
            </w:pPr>
            <w:r>
              <w:t>51.26% at 5+ vs 15.31% none</w:t>
            </w:r>
          </w:p>
        </w:tc>
        <w:tc>
          <w:tcPr>
            <w:tcW w:w="3360" w:type="dxa"/>
            <w:vAlign w:val="center"/>
          </w:tcPr>
          <w:p w14:paraId="235A3994" w14:textId="77777777" w:rsidR="0012529F" w:rsidRDefault="00000000">
            <w:pPr>
              <w:jc w:val="center"/>
            </w:pPr>
            <w:r>
              <w:t>35.95 percentage points</w:t>
            </w:r>
          </w:p>
        </w:tc>
      </w:tr>
      <w:tr w:rsidR="0012529F" w14:paraId="0FE25C4C" w14:textId="77777777">
        <w:trPr>
          <w:jc w:val="center"/>
        </w:trPr>
        <w:tc>
          <w:tcPr>
            <w:tcW w:w="3360" w:type="dxa"/>
            <w:vAlign w:val="center"/>
          </w:tcPr>
          <w:p w14:paraId="0C4C9515" w14:textId="77777777" w:rsidR="0012529F" w:rsidRDefault="00000000">
            <w:pPr>
              <w:jc w:val="center"/>
            </w:pPr>
            <w:r>
              <w:t>Satisfaction</w:t>
            </w:r>
          </w:p>
        </w:tc>
        <w:tc>
          <w:tcPr>
            <w:tcW w:w="3360" w:type="dxa"/>
            <w:vAlign w:val="center"/>
          </w:tcPr>
          <w:p w14:paraId="7100002C" w14:textId="77777777" w:rsidR="0012529F" w:rsidRDefault="00000000">
            <w:pPr>
              <w:jc w:val="center"/>
            </w:pPr>
            <w:r>
              <w:t>57.14% low vs 18.63% high</w:t>
            </w:r>
          </w:p>
        </w:tc>
        <w:tc>
          <w:tcPr>
            <w:tcW w:w="3360" w:type="dxa"/>
            <w:vAlign w:val="center"/>
          </w:tcPr>
          <w:p w14:paraId="28138502" w14:textId="77777777" w:rsidR="0012529F" w:rsidRDefault="00000000">
            <w:pPr>
              <w:jc w:val="center"/>
            </w:pPr>
            <w:r>
              <w:t>38.51 percentage points</w:t>
            </w:r>
          </w:p>
        </w:tc>
      </w:tr>
      <w:tr w:rsidR="0012529F" w14:paraId="1C43E8A3" w14:textId="77777777">
        <w:trPr>
          <w:jc w:val="center"/>
        </w:trPr>
        <w:tc>
          <w:tcPr>
            <w:tcW w:w="3360" w:type="dxa"/>
            <w:vAlign w:val="center"/>
          </w:tcPr>
          <w:p w14:paraId="79FB766B" w14:textId="77777777" w:rsidR="0012529F" w:rsidRDefault="00000000">
            <w:pPr>
              <w:jc w:val="center"/>
            </w:pPr>
            <w:r>
              <w:t>Support calls</w:t>
            </w:r>
          </w:p>
        </w:tc>
        <w:tc>
          <w:tcPr>
            <w:tcW w:w="3360" w:type="dxa"/>
            <w:vAlign w:val="center"/>
          </w:tcPr>
          <w:p w14:paraId="3EFAEA85" w14:textId="77777777" w:rsidR="0012529F" w:rsidRDefault="00000000">
            <w:pPr>
              <w:jc w:val="center"/>
            </w:pPr>
            <w:r>
              <w:t>35.02% at 6+ vs 18.78% none</w:t>
            </w:r>
          </w:p>
        </w:tc>
        <w:tc>
          <w:tcPr>
            <w:tcW w:w="3360" w:type="dxa"/>
            <w:vAlign w:val="center"/>
          </w:tcPr>
          <w:p w14:paraId="3B03CFB3" w14:textId="77777777" w:rsidR="0012529F" w:rsidRDefault="00000000">
            <w:pPr>
              <w:jc w:val="center"/>
            </w:pPr>
            <w:r>
              <w:t>16.24 percentage points</w:t>
            </w:r>
          </w:p>
        </w:tc>
      </w:tr>
      <w:tr w:rsidR="0012529F" w14:paraId="451892DB" w14:textId="77777777">
        <w:trPr>
          <w:jc w:val="center"/>
        </w:trPr>
        <w:tc>
          <w:tcPr>
            <w:tcW w:w="3360" w:type="dxa"/>
            <w:vAlign w:val="center"/>
          </w:tcPr>
          <w:p w14:paraId="74406A30" w14:textId="77777777" w:rsidR="0012529F" w:rsidRDefault="00000000">
            <w:pPr>
              <w:jc w:val="center"/>
            </w:pPr>
            <w:r>
              <w:t>Monthly charges</w:t>
            </w:r>
          </w:p>
        </w:tc>
        <w:tc>
          <w:tcPr>
            <w:tcW w:w="3360" w:type="dxa"/>
            <w:vAlign w:val="center"/>
          </w:tcPr>
          <w:p w14:paraId="66369D62" w14:textId="77777777" w:rsidR="0012529F" w:rsidRDefault="00000000">
            <w:pPr>
              <w:jc w:val="center"/>
            </w:pPr>
            <w:r>
              <w:t>31.21% very high vs 11.56% low</w:t>
            </w:r>
          </w:p>
        </w:tc>
        <w:tc>
          <w:tcPr>
            <w:tcW w:w="3360" w:type="dxa"/>
            <w:vAlign w:val="center"/>
          </w:tcPr>
          <w:p w14:paraId="5840B2CF" w14:textId="77777777" w:rsidR="0012529F" w:rsidRDefault="00000000">
            <w:pPr>
              <w:jc w:val="center"/>
            </w:pPr>
            <w:r>
              <w:t>19.65 percentage points</w:t>
            </w:r>
          </w:p>
        </w:tc>
      </w:tr>
      <w:tr w:rsidR="0012529F" w14:paraId="630D6B33" w14:textId="77777777">
        <w:trPr>
          <w:jc w:val="center"/>
        </w:trPr>
        <w:tc>
          <w:tcPr>
            <w:tcW w:w="3360" w:type="dxa"/>
            <w:vAlign w:val="center"/>
          </w:tcPr>
          <w:p w14:paraId="5AC6A55D" w14:textId="77777777" w:rsidR="0012529F" w:rsidRDefault="00000000">
            <w:pPr>
              <w:jc w:val="center"/>
            </w:pPr>
            <w:r>
              <w:t>Internet service</w:t>
            </w:r>
          </w:p>
        </w:tc>
        <w:tc>
          <w:tcPr>
            <w:tcW w:w="3360" w:type="dxa"/>
            <w:vAlign w:val="center"/>
          </w:tcPr>
          <w:p w14:paraId="11C2B768" w14:textId="77777777" w:rsidR="0012529F" w:rsidRDefault="00000000">
            <w:pPr>
              <w:jc w:val="center"/>
            </w:pPr>
            <w:r>
              <w:t>25.42% Fiber vs 20.12% DSL</w:t>
            </w:r>
          </w:p>
        </w:tc>
        <w:tc>
          <w:tcPr>
            <w:tcW w:w="3360" w:type="dxa"/>
            <w:vAlign w:val="center"/>
          </w:tcPr>
          <w:p w14:paraId="7602C35B" w14:textId="77777777" w:rsidR="0012529F" w:rsidRDefault="00000000">
            <w:pPr>
              <w:jc w:val="center"/>
            </w:pPr>
            <w:r>
              <w:t>5.30 percentage points</w:t>
            </w:r>
          </w:p>
        </w:tc>
      </w:tr>
      <w:tr w:rsidR="0012529F" w14:paraId="6EB59BA2" w14:textId="77777777">
        <w:trPr>
          <w:jc w:val="center"/>
        </w:trPr>
        <w:tc>
          <w:tcPr>
            <w:tcW w:w="3360" w:type="dxa"/>
            <w:vAlign w:val="center"/>
          </w:tcPr>
          <w:p w14:paraId="14D66829" w14:textId="77777777" w:rsidR="0012529F" w:rsidRDefault="00000000">
            <w:pPr>
              <w:jc w:val="center"/>
            </w:pPr>
            <w:r>
              <w:t>Last login</w:t>
            </w:r>
          </w:p>
        </w:tc>
        <w:tc>
          <w:tcPr>
            <w:tcW w:w="3360" w:type="dxa"/>
            <w:vAlign w:val="center"/>
          </w:tcPr>
          <w:p w14:paraId="00669E34" w14:textId="77777777" w:rsidR="0012529F" w:rsidRDefault="00000000">
            <w:pPr>
              <w:jc w:val="center"/>
            </w:pPr>
            <w:r>
              <w:t>31.86% at 31+ vs 19.00% at 0–7</w:t>
            </w:r>
          </w:p>
        </w:tc>
        <w:tc>
          <w:tcPr>
            <w:tcW w:w="3360" w:type="dxa"/>
            <w:vAlign w:val="center"/>
          </w:tcPr>
          <w:p w14:paraId="7BCFD1EE" w14:textId="77777777" w:rsidR="0012529F" w:rsidRDefault="00000000">
            <w:pPr>
              <w:jc w:val="center"/>
            </w:pPr>
            <w:r>
              <w:t>12.86 percentage points</w:t>
            </w:r>
          </w:p>
        </w:tc>
      </w:tr>
      <w:tr w:rsidR="0012529F" w14:paraId="13A9ADDE" w14:textId="77777777">
        <w:trPr>
          <w:jc w:val="center"/>
        </w:trPr>
        <w:tc>
          <w:tcPr>
            <w:tcW w:w="3360" w:type="dxa"/>
            <w:vAlign w:val="center"/>
          </w:tcPr>
          <w:p w14:paraId="48208DF6" w14:textId="77777777" w:rsidR="0012529F" w:rsidRDefault="00000000">
            <w:pPr>
              <w:jc w:val="center"/>
            </w:pPr>
            <w:r>
              <w:t>Combined segment</w:t>
            </w:r>
          </w:p>
        </w:tc>
        <w:tc>
          <w:tcPr>
            <w:tcW w:w="3360" w:type="dxa"/>
            <w:vAlign w:val="center"/>
          </w:tcPr>
          <w:p w14:paraId="23F2F6CD" w14:textId="77777777" w:rsidR="0012529F" w:rsidRDefault="00000000">
            <w:pPr>
              <w:jc w:val="center"/>
            </w:pPr>
            <w:r>
              <w:t>52.87% M2M + 0–12</w:t>
            </w:r>
          </w:p>
        </w:tc>
        <w:tc>
          <w:tcPr>
            <w:tcW w:w="3360" w:type="dxa"/>
            <w:vAlign w:val="center"/>
          </w:tcPr>
          <w:p w14:paraId="3AF2E78C" w14:textId="77777777" w:rsidR="0012529F" w:rsidRDefault="00000000">
            <w:pPr>
              <w:jc w:val="center"/>
            </w:pPr>
            <w:r>
              <w:t>30.27 points above baseline</w:t>
            </w:r>
          </w:p>
        </w:tc>
      </w:tr>
    </w:tbl>
    <w:p w14:paraId="6F7FE67A" w14:textId="77777777" w:rsidR="0012529F" w:rsidRDefault="0012529F"/>
    <w:p w14:paraId="18B9C571" w14:textId="77777777" w:rsidR="0012529F" w:rsidRDefault="00000000">
      <w:pPr>
        <w:spacing w:after="120" w:line="259" w:lineRule="auto"/>
      </w:pPr>
      <w:r>
        <w:t>The strongest observed single-group churn rate is 57.14% for low satisfaction, followed by 51.26% for customers with 5+ complaints. The strongest combined segment shown is Month-to-Month customers with 0–12 months of tenure at approximately 52.87%. These figures are descriptive and should be interpreted in the context of the full dataset.</w:t>
      </w:r>
    </w:p>
    <w:p w14:paraId="29D841EA" w14:textId="77777777" w:rsidR="0012529F" w:rsidRDefault="00000000">
      <w:r>
        <w:br w:type="page"/>
      </w:r>
    </w:p>
    <w:p w14:paraId="68657AE2" w14:textId="77777777" w:rsidR="0012529F" w:rsidRDefault="00000000">
      <w:pPr>
        <w:pStyle w:val="Heading1"/>
        <w:spacing w:before="160" w:after="100"/>
      </w:pPr>
      <w:r>
        <w:lastRenderedPageBreak/>
        <w:t>17. Limitations and Considerations</w:t>
      </w:r>
    </w:p>
    <w:p w14:paraId="182817E1" w14:textId="77777777" w:rsidR="0012529F" w:rsidRDefault="00000000">
      <w:pPr>
        <w:spacing w:after="120" w:line="259" w:lineRule="auto"/>
      </w:pPr>
      <w:r>
        <w:t>A strong visualization report should explain not only what the charts show, but also what they cannot prove. The following limitations are important when interpreting this project.</w:t>
      </w:r>
    </w:p>
    <w:p w14:paraId="5528DC2B" w14:textId="77777777" w:rsidR="0012529F" w:rsidRDefault="00000000">
      <w:pPr>
        <w:pStyle w:val="ListBullet"/>
        <w:spacing w:after="60"/>
      </w:pPr>
      <w:r>
        <w:t>Descriptive analysis only: The project summarizes existing observations and does not estimate future churn or individual customer risk.</w:t>
      </w:r>
    </w:p>
    <w:p w14:paraId="1B9337C3" w14:textId="77777777" w:rsidR="0012529F" w:rsidRDefault="00000000">
      <w:pPr>
        <w:pStyle w:val="ListBullet"/>
        <w:spacing w:after="60"/>
      </w:pPr>
      <w:r>
        <w:t>Association is not causation: A higher churn rate within a group does not prove that the grouping variable caused customers to churn.</w:t>
      </w:r>
    </w:p>
    <w:p w14:paraId="79CEFB05" w14:textId="77777777" w:rsidR="0012529F" w:rsidRDefault="00000000">
      <w:pPr>
        <w:pStyle w:val="ListBullet"/>
        <w:spacing w:after="60"/>
      </w:pPr>
      <w:r>
        <w:t>Confounding variables: Contract type, tenure, charges, services, complaints and satisfaction may be related to one another. A single-variable chart cannot isolate their individual effects.</w:t>
      </w:r>
    </w:p>
    <w:p w14:paraId="1480DE17" w14:textId="77777777" w:rsidR="0012529F" w:rsidRDefault="00000000">
      <w:pPr>
        <w:pStyle w:val="ListBullet"/>
        <w:spacing w:after="60"/>
      </w:pPr>
      <w:r>
        <w:t>Group boundaries affect results: Categories such as 0–12 months or 5+ complaints are analytical choices. Different cut-offs could produce somewhat different visual patterns.</w:t>
      </w:r>
    </w:p>
    <w:p w14:paraId="2ED4C1CB" w14:textId="77777777" w:rsidR="0012529F" w:rsidRDefault="00000000">
      <w:pPr>
        <w:pStyle w:val="ListBullet"/>
        <w:spacing w:after="60"/>
      </w:pPr>
      <w:r>
        <w:t>Aggregated rates hide variation: A group-level churn rate does not show the full distribution within that group or explain why individual customers behaved differently.</w:t>
      </w:r>
    </w:p>
    <w:p w14:paraId="331B4D62" w14:textId="77777777" w:rsidR="0012529F" w:rsidRDefault="00000000">
      <w:pPr>
        <w:pStyle w:val="ListBullet"/>
        <w:spacing w:after="60"/>
      </w:pPr>
      <w:r>
        <w:t>Sample-size context matters: A percentage should ideally be interpreted together with the number of customers represented by that category, especially for smaller groups.</w:t>
      </w:r>
    </w:p>
    <w:p w14:paraId="39746AC4" w14:textId="77777777" w:rsidR="0012529F" w:rsidRDefault="00000000">
      <w:pPr>
        <w:pStyle w:val="ListBullet"/>
        <w:spacing w:after="60"/>
      </w:pPr>
      <w:r>
        <w:t>Missing-value treatment can affect results: Cleaning decisions may influence summary statistics and charts. The final dataset contains no remaining missing values, but the treatment used should always be documented.</w:t>
      </w:r>
    </w:p>
    <w:p w14:paraId="4230A397" w14:textId="77777777" w:rsidR="0012529F" w:rsidRDefault="00000000">
      <w:pPr>
        <w:pStyle w:val="ListBullet"/>
        <w:spacing w:after="60"/>
      </w:pPr>
      <w:r>
        <w:t>No statistical significance testing: The project uses descriptive percentages and visual comparisons; it does not formally test whether observed group differences are statistically significant.</w:t>
      </w:r>
    </w:p>
    <w:p w14:paraId="5F00AF25" w14:textId="77777777" w:rsidR="0012529F" w:rsidRDefault="00000000">
      <w:pPr>
        <w:pStyle w:val="ListBullet"/>
        <w:spacing w:after="60"/>
      </w:pPr>
      <w:r>
        <w:t>No predictive validation: There is no train/test split, model evaluation, probability calibration or prediction performance assessment because machine learning is outside the scope.</w:t>
      </w:r>
    </w:p>
    <w:p w14:paraId="384C0FBC" w14:textId="77777777" w:rsidR="0012529F" w:rsidRDefault="00000000">
      <w:pPr>
        <w:pStyle w:val="ListBullet"/>
        <w:spacing w:after="60"/>
      </w:pPr>
      <w:r>
        <w:t>No causal or longitudinal analysis: The dataset does not establish whether changes in satisfaction, complaints, support calls or login activity occurred before churn in a way that would support causal interpretation.</w:t>
      </w:r>
    </w:p>
    <w:p w14:paraId="59046B59" w14:textId="77777777" w:rsidR="0012529F" w:rsidRDefault="00000000">
      <w:pPr>
        <w:pStyle w:val="ListBullet"/>
        <w:spacing w:after="60"/>
      </w:pPr>
      <w:r>
        <w:t>Visualization limitations: Charts simplify complex data. Axis ranges, grouping choices and chart types can influence how large a difference appears, so exact values are included where possible.</w:t>
      </w:r>
    </w:p>
    <w:p w14:paraId="19971D2F" w14:textId="77777777" w:rsidR="0012529F" w:rsidRDefault="00000000">
      <w:pPr>
        <w:pStyle w:val="ListBullet"/>
        <w:spacing w:after="60"/>
      </w:pPr>
      <w:r>
        <w:t>Dataset-specific conclusions: The findings describe this dataset and should not automatically be generalized to all telecom customers or other companies without additional evidence.</w:t>
      </w:r>
    </w:p>
    <w:p w14:paraId="55476479" w14:textId="77777777" w:rsidR="0012529F" w:rsidRDefault="00000000">
      <w:pPr>
        <w:spacing w:after="120" w:line="259" w:lineRule="auto"/>
      </w:pPr>
      <w:r>
        <w:t>These limitations do not reduce the usefulness of the project. Instead, they define the appropriate level of interpretation: the charts identify patterns and differences that are suitable for further investigation.</w:t>
      </w:r>
    </w:p>
    <w:p w14:paraId="2EE64BFA" w14:textId="77777777" w:rsidR="0012529F" w:rsidRDefault="00000000">
      <w:r>
        <w:br w:type="page"/>
      </w:r>
    </w:p>
    <w:p w14:paraId="53FD7D60" w14:textId="77777777" w:rsidR="0012529F" w:rsidRDefault="00000000">
      <w:pPr>
        <w:pStyle w:val="Heading1"/>
        <w:spacing w:before="160" w:after="100"/>
      </w:pPr>
      <w:r>
        <w:lastRenderedPageBreak/>
        <w:t>18. Conclusion</w:t>
      </w:r>
    </w:p>
    <w:p w14:paraId="3EBFB79F" w14:textId="3DDC919C" w:rsidR="0012529F" w:rsidRDefault="00000000">
      <w:pPr>
        <w:spacing w:after="120" w:line="259" w:lineRule="auto"/>
      </w:pPr>
      <w:r>
        <w:t>This</w:t>
      </w:r>
      <w:r w:rsidR="003511CF">
        <w:t xml:space="preserve"> </w:t>
      </w:r>
      <w:r>
        <w:t>project demonstrated how Python can be used to move from a cleaned customer dataset to advanced visualization and data storytelling. The analysis established a 22.60% overall churn baseline and then compared churn rates across contract type, tenure, complaints, satisfaction, support calls, monthly charges, internet service and last-login recency.</w:t>
      </w:r>
    </w:p>
    <w:p w14:paraId="5BF4303E" w14:textId="77777777" w:rsidR="0012529F" w:rsidRDefault="00000000">
      <w:pPr>
        <w:spacing w:after="120" w:line="259" w:lineRule="auto"/>
      </w:pPr>
      <w:r>
        <w:t>The visual analysis identified several substantial differences. Month-to-month customers had a 30.65% churn rate compared with 9.59% for two-year customers. The 0–12 month tenure group had a 41.01% rate compared with 10.84% for 49+ months. Customers with 5 or more complaints had a 51.26% rate, while the low-satisfaction group had the highest observed single-group rate at 57.14%. The combined Month-to-Month + 0–12 months segment reached approximately 52.87%.</w:t>
      </w:r>
    </w:p>
    <w:p w14:paraId="41EBA06D" w14:textId="77777777" w:rsidR="0012529F" w:rsidRDefault="00000000">
      <w:pPr>
        <w:spacing w:after="120" w:line="259" w:lineRule="auto"/>
      </w:pPr>
      <w:r>
        <w:t>The project also demonstrates an important principle of data storytelling: a chart becomes more informative when it is supported by exact values, comparisons to a baseline, clear interpretation and appropriate limitations. The analysis remains descriptive and does not claim causation, prediction or future outcomes.</w:t>
      </w:r>
    </w:p>
    <w:p w14:paraId="077650A4" w14:textId="77777777" w:rsidR="0012529F" w:rsidRDefault="00000000">
      <w:r>
        <w:br w:type="page"/>
      </w:r>
    </w:p>
    <w:p w14:paraId="61004B4A" w14:textId="77777777" w:rsidR="0012529F" w:rsidRDefault="00000000">
      <w:pPr>
        <w:pStyle w:val="Heading1"/>
        <w:spacing w:before="160" w:after="100"/>
      </w:pPr>
      <w:r>
        <w:lastRenderedPageBreak/>
        <w:t>Appendix A. Python Implementation</w:t>
      </w:r>
    </w:p>
    <w:p w14:paraId="63553A0F" w14:textId="77777777" w:rsidR="0012529F" w:rsidRDefault="00000000">
      <w:pPr>
        <w:spacing w:after="120" w:line="259" w:lineRule="auto"/>
      </w:pPr>
      <w:r>
        <w:t>The analysis was developed and executed in Visual Studio Code (VS Code). The following excerpts represent the main stages of the implementation.</w:t>
      </w:r>
    </w:p>
    <w:p w14:paraId="57A14C08" w14:textId="77777777" w:rsidR="0012529F" w:rsidRDefault="00000000">
      <w:pPr>
        <w:pStyle w:val="Heading2"/>
        <w:spacing w:before="160" w:after="100"/>
      </w:pPr>
      <w:r>
        <w:t>A.1 Import Libraries and Load Data</w:t>
      </w:r>
    </w:p>
    <w:p w14:paraId="61EEAF0A" w14:textId="77777777" w:rsidR="0012529F" w:rsidRDefault="00000000">
      <w:pPr>
        <w:shd w:val="clear" w:color="auto" w:fill="F2F2F2"/>
        <w:spacing w:after="120"/>
        <w:ind w:left="360" w:right="360"/>
      </w:pPr>
      <w:r>
        <w:rPr>
          <w:rFonts w:ascii="Consolas" w:hAnsi="Consolas"/>
          <w:sz w:val="17"/>
        </w:rPr>
        <w:t>import pandas as pd</w:t>
      </w:r>
      <w:r>
        <w:rPr>
          <w:rFonts w:ascii="Consolas" w:hAnsi="Consolas"/>
          <w:sz w:val="17"/>
        </w:rPr>
        <w:br/>
        <w:t xml:space="preserve">import </w:t>
      </w:r>
      <w:proofErr w:type="spellStart"/>
      <w:r>
        <w:rPr>
          <w:rFonts w:ascii="Consolas" w:hAnsi="Consolas"/>
          <w:sz w:val="17"/>
        </w:rPr>
        <w:t>numpy</w:t>
      </w:r>
      <w:proofErr w:type="spellEnd"/>
      <w:r>
        <w:rPr>
          <w:rFonts w:ascii="Consolas" w:hAnsi="Consolas"/>
          <w:sz w:val="17"/>
        </w:rPr>
        <w:t xml:space="preserve"> as np</w:t>
      </w:r>
      <w:r>
        <w:rPr>
          <w:rFonts w:ascii="Consolas" w:hAnsi="Consolas"/>
          <w:sz w:val="17"/>
        </w:rPr>
        <w:br/>
        <w:t xml:space="preserve">import </w:t>
      </w:r>
      <w:proofErr w:type="spellStart"/>
      <w:r>
        <w:rPr>
          <w:rFonts w:ascii="Consolas" w:hAnsi="Consolas"/>
          <w:sz w:val="17"/>
        </w:rPr>
        <w:t>matplotlib.pyplot</w:t>
      </w:r>
      <w:proofErr w:type="spellEnd"/>
      <w:r>
        <w:rPr>
          <w:rFonts w:ascii="Consolas" w:hAnsi="Consolas"/>
          <w:sz w:val="17"/>
        </w:rPr>
        <w:t xml:space="preserve"> as </w:t>
      </w:r>
      <w:proofErr w:type="spellStart"/>
      <w:r>
        <w:rPr>
          <w:rFonts w:ascii="Consolas" w:hAnsi="Consolas"/>
          <w:sz w:val="17"/>
        </w:rPr>
        <w:t>plt</w:t>
      </w:r>
      <w:proofErr w:type="spellEnd"/>
      <w:r>
        <w:rPr>
          <w:rFonts w:ascii="Consolas" w:hAnsi="Consolas"/>
          <w:sz w:val="17"/>
        </w:rPr>
        <w:br/>
        <w:t xml:space="preserve">import seaborn as </w:t>
      </w:r>
      <w:proofErr w:type="spellStart"/>
      <w:r>
        <w:rPr>
          <w:rFonts w:ascii="Consolas" w:hAnsi="Consolas"/>
          <w:sz w:val="17"/>
        </w:rPr>
        <w:t>sns</w:t>
      </w:r>
      <w:proofErr w:type="spellEnd"/>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 xml:space="preserve"> = </w:t>
      </w:r>
      <w:proofErr w:type="spellStart"/>
      <w:r>
        <w:rPr>
          <w:rFonts w:ascii="Consolas" w:hAnsi="Consolas"/>
          <w:sz w:val="17"/>
        </w:rPr>
        <w:t>pd.read_csv</w:t>
      </w:r>
      <w:proofErr w:type="spellEnd"/>
      <w:r>
        <w:rPr>
          <w:rFonts w:ascii="Consolas" w:hAnsi="Consolas"/>
          <w:sz w:val="17"/>
        </w:rPr>
        <w:t>("customer_churn_data.csv")</w:t>
      </w:r>
      <w:r>
        <w:rPr>
          <w:rFonts w:ascii="Consolas" w:hAnsi="Consolas"/>
          <w:sz w:val="17"/>
        </w:rPr>
        <w:br/>
      </w:r>
      <w:r>
        <w:rPr>
          <w:rFonts w:ascii="Consolas" w:hAnsi="Consolas"/>
          <w:sz w:val="17"/>
        </w:rPr>
        <w:br/>
        <w:t xml:space="preserve">print("Dataset Shape:", </w:t>
      </w:r>
      <w:proofErr w:type="spellStart"/>
      <w:r>
        <w:rPr>
          <w:rFonts w:ascii="Consolas" w:hAnsi="Consolas"/>
          <w:sz w:val="17"/>
        </w:rPr>
        <w:t>df.shape</w:t>
      </w:r>
      <w:proofErr w:type="spellEnd"/>
      <w:r>
        <w:rPr>
          <w:rFonts w:ascii="Consolas" w:hAnsi="Consolas"/>
          <w:sz w:val="17"/>
        </w:rPr>
        <w:t>)</w:t>
      </w:r>
      <w:r>
        <w:rPr>
          <w:rFonts w:ascii="Consolas" w:hAnsi="Consolas"/>
          <w:sz w:val="17"/>
        </w:rPr>
        <w:br/>
        <w:t>print(</w:t>
      </w:r>
      <w:proofErr w:type="spellStart"/>
      <w:r>
        <w:rPr>
          <w:rFonts w:ascii="Consolas" w:hAnsi="Consolas"/>
          <w:sz w:val="17"/>
        </w:rPr>
        <w:t>df.head</w:t>
      </w:r>
      <w:proofErr w:type="spellEnd"/>
      <w:r>
        <w:rPr>
          <w:rFonts w:ascii="Consolas" w:hAnsi="Consolas"/>
          <w:sz w:val="17"/>
        </w:rPr>
        <w:t>())</w:t>
      </w:r>
      <w:r>
        <w:rPr>
          <w:rFonts w:ascii="Consolas" w:hAnsi="Consolas"/>
          <w:sz w:val="17"/>
        </w:rPr>
        <w:br/>
        <w:t>print(</w:t>
      </w:r>
      <w:proofErr w:type="spellStart"/>
      <w:r>
        <w:rPr>
          <w:rFonts w:ascii="Consolas" w:hAnsi="Consolas"/>
          <w:sz w:val="17"/>
        </w:rPr>
        <w:t>df.dtypes</w:t>
      </w:r>
      <w:proofErr w:type="spellEnd"/>
      <w:r>
        <w:rPr>
          <w:rFonts w:ascii="Consolas" w:hAnsi="Consolas"/>
          <w:sz w:val="17"/>
        </w:rPr>
        <w:t>)</w:t>
      </w:r>
      <w:r>
        <w:rPr>
          <w:rFonts w:ascii="Consolas" w:hAnsi="Consolas"/>
          <w:sz w:val="17"/>
        </w:rPr>
        <w:br/>
        <w:t>print(df.info())</w:t>
      </w:r>
    </w:p>
    <w:p w14:paraId="1CBDEE33" w14:textId="77777777" w:rsidR="0012529F" w:rsidRDefault="00000000">
      <w:pPr>
        <w:pStyle w:val="Heading2"/>
        <w:spacing w:before="160" w:after="100"/>
      </w:pPr>
      <w:r>
        <w:t>A.2 Data Quality Checks</w:t>
      </w:r>
    </w:p>
    <w:p w14:paraId="3D67CCA8" w14:textId="77777777" w:rsidR="0012529F" w:rsidRDefault="00000000">
      <w:pPr>
        <w:shd w:val="clear" w:color="auto" w:fill="F2F2F2"/>
        <w:spacing w:after="120"/>
        <w:ind w:left="360" w:right="360"/>
      </w:pPr>
      <w:r>
        <w:rPr>
          <w:rFonts w:ascii="Consolas" w:hAnsi="Consolas"/>
          <w:sz w:val="17"/>
        </w:rPr>
        <w:t>print(</w:t>
      </w:r>
      <w:proofErr w:type="spellStart"/>
      <w:r>
        <w:rPr>
          <w:rFonts w:ascii="Consolas" w:hAnsi="Consolas"/>
          <w:sz w:val="17"/>
        </w:rPr>
        <w:t>df.isnull</w:t>
      </w:r>
      <w:proofErr w:type="spellEnd"/>
      <w:r>
        <w:rPr>
          <w:rFonts w:ascii="Consolas" w:hAnsi="Consolas"/>
          <w:sz w:val="17"/>
        </w:rPr>
        <w:t>().sum())</w:t>
      </w:r>
      <w:r>
        <w:rPr>
          <w:rFonts w:ascii="Consolas" w:hAnsi="Consolas"/>
          <w:sz w:val="17"/>
        </w:rPr>
        <w:br/>
        <w:t>print((</w:t>
      </w:r>
      <w:proofErr w:type="spellStart"/>
      <w:r>
        <w:rPr>
          <w:rFonts w:ascii="Consolas" w:hAnsi="Consolas"/>
          <w:sz w:val="17"/>
        </w:rPr>
        <w:t>df.isnull</w:t>
      </w:r>
      <w:proofErr w:type="spellEnd"/>
      <w:r>
        <w:rPr>
          <w:rFonts w:ascii="Consolas" w:hAnsi="Consolas"/>
          <w:sz w:val="17"/>
        </w:rPr>
        <w:t xml:space="preserve">().sum() / </w:t>
      </w:r>
      <w:proofErr w:type="spellStart"/>
      <w:r>
        <w:rPr>
          <w:rFonts w:ascii="Consolas" w:hAnsi="Consolas"/>
          <w:sz w:val="17"/>
        </w:rPr>
        <w:t>len</w:t>
      </w:r>
      <w:proofErr w:type="spellEnd"/>
      <w:r>
        <w:rPr>
          <w:rFonts w:ascii="Consolas" w:hAnsi="Consolas"/>
          <w:sz w:val="17"/>
        </w:rPr>
        <w:t>(</w:t>
      </w:r>
      <w:proofErr w:type="spellStart"/>
      <w:r>
        <w:rPr>
          <w:rFonts w:ascii="Consolas" w:hAnsi="Consolas"/>
          <w:sz w:val="17"/>
        </w:rPr>
        <w:t>df</w:t>
      </w:r>
      <w:proofErr w:type="spellEnd"/>
      <w:r>
        <w:rPr>
          <w:rFonts w:ascii="Consolas" w:hAnsi="Consolas"/>
          <w:sz w:val="17"/>
        </w:rPr>
        <w:t>) * 100).round(2))</w:t>
      </w:r>
      <w:r>
        <w:rPr>
          <w:rFonts w:ascii="Consolas" w:hAnsi="Consolas"/>
          <w:sz w:val="17"/>
        </w:rPr>
        <w:br/>
        <w:t xml:space="preserve">print("Duplicates:", </w:t>
      </w:r>
      <w:proofErr w:type="spellStart"/>
      <w:r>
        <w:rPr>
          <w:rFonts w:ascii="Consolas" w:hAnsi="Consolas"/>
          <w:sz w:val="17"/>
        </w:rPr>
        <w:t>df.duplicated</w:t>
      </w:r>
      <w:proofErr w:type="spellEnd"/>
      <w:r>
        <w:rPr>
          <w:rFonts w:ascii="Consolas" w:hAnsi="Consolas"/>
          <w:sz w:val="17"/>
        </w:rPr>
        <w:t>().sum())</w:t>
      </w:r>
      <w:r>
        <w:rPr>
          <w:rFonts w:ascii="Consolas" w:hAnsi="Consolas"/>
          <w:sz w:val="17"/>
        </w:rPr>
        <w:br/>
        <w:t>print(</w:t>
      </w:r>
      <w:proofErr w:type="spellStart"/>
      <w:r>
        <w:rPr>
          <w:rFonts w:ascii="Consolas" w:hAnsi="Consolas"/>
          <w:sz w:val="17"/>
        </w:rPr>
        <w:t>df.describe</w:t>
      </w:r>
      <w:proofErr w:type="spellEnd"/>
      <w:r>
        <w:rPr>
          <w:rFonts w:ascii="Consolas" w:hAnsi="Consolas"/>
          <w:sz w:val="17"/>
        </w:rPr>
        <w:t>())</w:t>
      </w:r>
      <w:r>
        <w:rPr>
          <w:rFonts w:ascii="Consolas" w:hAnsi="Consolas"/>
          <w:sz w:val="17"/>
        </w:rPr>
        <w:br/>
        <w:t>print(</w:t>
      </w:r>
      <w:proofErr w:type="spellStart"/>
      <w:r>
        <w:rPr>
          <w:rFonts w:ascii="Consolas" w:hAnsi="Consolas"/>
          <w:sz w:val="17"/>
        </w:rPr>
        <w:t>df</w:t>
      </w:r>
      <w:proofErr w:type="spellEnd"/>
      <w:r>
        <w:rPr>
          <w:rFonts w:ascii="Consolas" w:hAnsi="Consolas"/>
          <w:sz w:val="17"/>
        </w:rPr>
        <w:t>["Churn"].</w:t>
      </w:r>
      <w:proofErr w:type="spellStart"/>
      <w:r>
        <w:rPr>
          <w:rFonts w:ascii="Consolas" w:hAnsi="Consolas"/>
          <w:sz w:val="17"/>
        </w:rPr>
        <w:t>value_counts</w:t>
      </w:r>
      <w:proofErr w:type="spellEnd"/>
      <w:r>
        <w:rPr>
          <w:rFonts w:ascii="Consolas" w:hAnsi="Consolas"/>
          <w:sz w:val="17"/>
        </w:rPr>
        <w:t>())</w:t>
      </w:r>
      <w:r>
        <w:rPr>
          <w:rFonts w:ascii="Consolas" w:hAnsi="Consolas"/>
          <w:sz w:val="17"/>
        </w:rPr>
        <w:br/>
        <w:t>print(</w:t>
      </w:r>
      <w:proofErr w:type="spellStart"/>
      <w:r>
        <w:rPr>
          <w:rFonts w:ascii="Consolas" w:hAnsi="Consolas"/>
          <w:sz w:val="17"/>
        </w:rPr>
        <w:t>df</w:t>
      </w:r>
      <w:proofErr w:type="spellEnd"/>
      <w:r>
        <w:rPr>
          <w:rFonts w:ascii="Consolas" w:hAnsi="Consolas"/>
          <w:sz w:val="17"/>
        </w:rPr>
        <w:t>["Churn"].</w:t>
      </w:r>
      <w:proofErr w:type="spellStart"/>
      <w:r>
        <w:rPr>
          <w:rFonts w:ascii="Consolas" w:hAnsi="Consolas"/>
          <w:sz w:val="17"/>
        </w:rPr>
        <w:t>value_counts</w:t>
      </w:r>
      <w:proofErr w:type="spellEnd"/>
      <w:r>
        <w:rPr>
          <w:rFonts w:ascii="Consolas" w:hAnsi="Consolas"/>
          <w:sz w:val="17"/>
        </w:rPr>
        <w:t>(normalize=True) * 100)</w:t>
      </w:r>
    </w:p>
    <w:p w14:paraId="5223105D" w14:textId="77777777" w:rsidR="0012529F" w:rsidRDefault="00000000">
      <w:pPr>
        <w:pStyle w:val="Heading2"/>
        <w:spacing w:before="160" w:after="100"/>
      </w:pPr>
      <w:r>
        <w:t>A.3 Create Analytical Groups</w:t>
      </w:r>
    </w:p>
    <w:p w14:paraId="263796A1" w14:textId="77777777" w:rsidR="0012529F" w:rsidRDefault="00000000">
      <w:pPr>
        <w:shd w:val="clear" w:color="auto" w:fill="F2F2F2"/>
        <w:spacing w:after="120"/>
        <w:ind w:left="360" w:right="360"/>
      </w:pP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Tenure_Group</w:t>
      </w:r>
      <w:proofErr w:type="spellEnd"/>
      <w:r>
        <w:rPr>
          <w:rFonts w:ascii="Consolas" w:hAnsi="Consolas"/>
          <w:sz w:val="17"/>
        </w:rPr>
        <w:t xml:space="preserve">"] = </w:t>
      </w:r>
      <w:proofErr w:type="spellStart"/>
      <w:r>
        <w:rPr>
          <w:rFonts w:ascii="Consolas" w:hAnsi="Consolas"/>
          <w:sz w:val="17"/>
        </w:rPr>
        <w:t>pd.cut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Tenure_Months</w:t>
      </w:r>
      <w:proofErr w:type="spellEnd"/>
      <w:r>
        <w:rPr>
          <w:rFonts w:ascii="Consolas" w:hAnsi="Consolas"/>
          <w:sz w:val="17"/>
        </w:rPr>
        <w:t>"],</w:t>
      </w:r>
      <w:r>
        <w:rPr>
          <w:rFonts w:ascii="Consolas" w:hAnsi="Consolas"/>
          <w:sz w:val="17"/>
        </w:rPr>
        <w:br/>
        <w:t xml:space="preserve">    bins=[0, 12, 24, 48, float("inf")],</w:t>
      </w:r>
      <w:r>
        <w:rPr>
          <w:rFonts w:ascii="Consolas" w:hAnsi="Consolas"/>
          <w:sz w:val="17"/>
        </w:rPr>
        <w:br/>
        <w:t xml:space="preserve">    labels=["0–12", "13–24", "25–48", "49+"]</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Complaint_Group</w:t>
      </w:r>
      <w:proofErr w:type="spellEnd"/>
      <w:r>
        <w:rPr>
          <w:rFonts w:ascii="Consolas" w:hAnsi="Consolas"/>
          <w:sz w:val="17"/>
        </w:rPr>
        <w:t xml:space="preserve">"] = </w:t>
      </w:r>
      <w:proofErr w:type="spellStart"/>
      <w:r>
        <w:rPr>
          <w:rFonts w:ascii="Consolas" w:hAnsi="Consolas"/>
          <w:sz w:val="17"/>
        </w:rPr>
        <w:t>pd.cut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Number_of_Complaints</w:t>
      </w:r>
      <w:proofErr w:type="spellEnd"/>
      <w:r>
        <w:rPr>
          <w:rFonts w:ascii="Consolas" w:hAnsi="Consolas"/>
          <w:sz w:val="17"/>
        </w:rPr>
        <w:t>"],</w:t>
      </w:r>
      <w:r>
        <w:rPr>
          <w:rFonts w:ascii="Consolas" w:hAnsi="Consolas"/>
          <w:sz w:val="17"/>
        </w:rPr>
        <w:br/>
        <w:t xml:space="preserve">    bins=[-1, 0, 2, 4, float("inf")],</w:t>
      </w:r>
      <w:r>
        <w:rPr>
          <w:rFonts w:ascii="Consolas" w:hAnsi="Consolas"/>
          <w:sz w:val="17"/>
        </w:rPr>
        <w:br/>
        <w:t xml:space="preserve">    labels=["None", "1–2", "3–4", "5+"]</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Support_Call_Group</w:t>
      </w:r>
      <w:proofErr w:type="spellEnd"/>
      <w:r>
        <w:rPr>
          <w:rFonts w:ascii="Consolas" w:hAnsi="Consolas"/>
          <w:sz w:val="17"/>
        </w:rPr>
        <w:t xml:space="preserve">"] = </w:t>
      </w:r>
      <w:proofErr w:type="spellStart"/>
      <w:r>
        <w:rPr>
          <w:rFonts w:ascii="Consolas" w:hAnsi="Consolas"/>
          <w:sz w:val="17"/>
        </w:rPr>
        <w:t>pd.cut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df</w:t>
      </w:r>
      <w:proofErr w:type="spellEnd"/>
      <w:r>
        <w:rPr>
          <w:rFonts w:ascii="Consolas" w:hAnsi="Consolas"/>
          <w:sz w:val="17"/>
        </w:rPr>
        <w:t>["</w:t>
      </w:r>
      <w:proofErr w:type="spellStart"/>
      <w:r>
        <w:rPr>
          <w:rFonts w:ascii="Consolas" w:hAnsi="Consolas"/>
          <w:sz w:val="17"/>
        </w:rPr>
        <w:t>Support_Calls</w:t>
      </w:r>
      <w:proofErr w:type="spellEnd"/>
      <w:r>
        <w:rPr>
          <w:rFonts w:ascii="Consolas" w:hAnsi="Consolas"/>
          <w:sz w:val="17"/>
        </w:rPr>
        <w:t>"],</w:t>
      </w:r>
      <w:r>
        <w:rPr>
          <w:rFonts w:ascii="Consolas" w:hAnsi="Consolas"/>
          <w:sz w:val="17"/>
        </w:rPr>
        <w:br/>
        <w:t xml:space="preserve">    bins=[-1, 0, 2, 5, float("inf")],</w:t>
      </w:r>
      <w:r>
        <w:rPr>
          <w:rFonts w:ascii="Consolas" w:hAnsi="Consolas"/>
          <w:sz w:val="17"/>
        </w:rPr>
        <w:br/>
        <w:t xml:space="preserve">    labels=["None", "1–2", "3–5", "6+"]</w:t>
      </w:r>
      <w:r>
        <w:rPr>
          <w:rFonts w:ascii="Consolas" w:hAnsi="Consolas"/>
          <w:sz w:val="17"/>
        </w:rPr>
        <w:br/>
        <w:t>)</w:t>
      </w:r>
    </w:p>
    <w:p w14:paraId="3D9A65F8" w14:textId="77777777" w:rsidR="0012529F" w:rsidRDefault="00000000">
      <w:pPr>
        <w:pStyle w:val="Heading2"/>
        <w:spacing w:before="160" w:after="100"/>
      </w:pPr>
      <w:r>
        <w:t>A.4 Calculate Churn Rates</w:t>
      </w:r>
    </w:p>
    <w:p w14:paraId="6746BFDF" w14:textId="77777777" w:rsidR="0012529F" w:rsidRDefault="00000000">
      <w:pPr>
        <w:shd w:val="clear" w:color="auto" w:fill="F2F2F2"/>
        <w:spacing w:after="120"/>
        <w:ind w:left="360" w:right="360"/>
      </w:pPr>
      <w:proofErr w:type="spellStart"/>
      <w:r>
        <w:rPr>
          <w:rFonts w:ascii="Consolas" w:hAnsi="Consolas"/>
          <w:sz w:val="17"/>
        </w:rPr>
        <w:t>contract_churn</w:t>
      </w:r>
      <w:proofErr w:type="spellEnd"/>
      <w:r>
        <w:rPr>
          <w:rFonts w:ascii="Consolas" w:hAnsi="Consolas"/>
          <w:sz w:val="17"/>
        </w:rPr>
        <w:t xml:space="preserve"> = (</w:t>
      </w:r>
      <w:r>
        <w:rPr>
          <w:rFonts w:ascii="Consolas" w:hAnsi="Consolas"/>
          <w:sz w:val="17"/>
        </w:rPr>
        <w:br/>
        <w:t xml:space="preserve">    </w:t>
      </w:r>
      <w:proofErr w:type="spellStart"/>
      <w:r>
        <w:rPr>
          <w:rFonts w:ascii="Consolas" w:hAnsi="Consolas"/>
          <w:sz w:val="17"/>
        </w:rPr>
        <w:t>df.groupby</w:t>
      </w:r>
      <w:proofErr w:type="spellEnd"/>
      <w:r>
        <w:rPr>
          <w:rFonts w:ascii="Consolas" w:hAnsi="Consolas"/>
          <w:sz w:val="17"/>
        </w:rPr>
        <w:t>("</w:t>
      </w:r>
      <w:proofErr w:type="spellStart"/>
      <w:r>
        <w:rPr>
          <w:rFonts w:ascii="Consolas" w:hAnsi="Consolas"/>
          <w:sz w:val="17"/>
        </w:rPr>
        <w:t>Contract_Type</w:t>
      </w:r>
      <w:proofErr w:type="spellEnd"/>
      <w:r>
        <w:rPr>
          <w:rFonts w:ascii="Consolas" w:hAnsi="Consolas"/>
          <w:sz w:val="17"/>
        </w:rPr>
        <w:t>")["Churn"]</w:t>
      </w:r>
      <w:r>
        <w:rPr>
          <w:rFonts w:ascii="Consolas" w:hAnsi="Consolas"/>
          <w:sz w:val="17"/>
        </w:rPr>
        <w:br/>
        <w:t xml:space="preserve">      .mean()</w:t>
      </w:r>
      <w:r>
        <w:rPr>
          <w:rFonts w:ascii="Consolas" w:hAnsi="Consolas"/>
          <w:sz w:val="17"/>
        </w:rPr>
        <w:br/>
        <w:t xml:space="preserve">      .</w:t>
      </w:r>
      <w:proofErr w:type="spellStart"/>
      <w:r>
        <w:rPr>
          <w:rFonts w:ascii="Consolas" w:hAnsi="Consolas"/>
          <w:sz w:val="17"/>
        </w:rPr>
        <w:t>mul</w:t>
      </w:r>
      <w:proofErr w:type="spellEnd"/>
      <w:r>
        <w:rPr>
          <w:rFonts w:ascii="Consolas" w:hAnsi="Consolas"/>
          <w:sz w:val="17"/>
        </w:rPr>
        <w:t>(100)</w:t>
      </w:r>
      <w:r>
        <w:rPr>
          <w:rFonts w:ascii="Consolas" w:hAnsi="Consolas"/>
          <w:sz w:val="17"/>
        </w:rPr>
        <w:br/>
        <w:t xml:space="preserve">      .</w:t>
      </w:r>
      <w:proofErr w:type="spellStart"/>
      <w:r>
        <w:rPr>
          <w:rFonts w:ascii="Consolas" w:hAnsi="Consolas"/>
          <w:sz w:val="17"/>
        </w:rPr>
        <w:t>reset_index</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tenure_churn</w:t>
      </w:r>
      <w:proofErr w:type="spellEnd"/>
      <w:r>
        <w:rPr>
          <w:rFonts w:ascii="Consolas" w:hAnsi="Consolas"/>
          <w:sz w:val="17"/>
        </w:rPr>
        <w:t xml:space="preserve"> = (</w:t>
      </w:r>
      <w:r>
        <w:rPr>
          <w:rFonts w:ascii="Consolas" w:hAnsi="Consolas"/>
          <w:sz w:val="17"/>
        </w:rPr>
        <w:br/>
        <w:t xml:space="preserve">    </w:t>
      </w:r>
      <w:proofErr w:type="spellStart"/>
      <w:r>
        <w:rPr>
          <w:rFonts w:ascii="Consolas" w:hAnsi="Consolas"/>
          <w:sz w:val="17"/>
        </w:rPr>
        <w:t>df.groupby</w:t>
      </w:r>
      <w:proofErr w:type="spellEnd"/>
      <w:r>
        <w:rPr>
          <w:rFonts w:ascii="Consolas" w:hAnsi="Consolas"/>
          <w:sz w:val="17"/>
        </w:rPr>
        <w:t>("</w:t>
      </w:r>
      <w:proofErr w:type="spellStart"/>
      <w:r>
        <w:rPr>
          <w:rFonts w:ascii="Consolas" w:hAnsi="Consolas"/>
          <w:sz w:val="17"/>
        </w:rPr>
        <w:t>Tenure_Group</w:t>
      </w:r>
      <w:proofErr w:type="spellEnd"/>
      <w:r>
        <w:rPr>
          <w:rFonts w:ascii="Consolas" w:hAnsi="Consolas"/>
          <w:sz w:val="17"/>
        </w:rPr>
        <w:t>", observed=False)["Churn"]</w:t>
      </w:r>
      <w:r>
        <w:rPr>
          <w:rFonts w:ascii="Consolas" w:hAnsi="Consolas"/>
          <w:sz w:val="17"/>
        </w:rPr>
        <w:br/>
        <w:t xml:space="preserve">      .mean()</w:t>
      </w:r>
      <w:r>
        <w:rPr>
          <w:rFonts w:ascii="Consolas" w:hAnsi="Consolas"/>
          <w:sz w:val="17"/>
        </w:rPr>
        <w:br/>
        <w:t xml:space="preserve">      .</w:t>
      </w:r>
      <w:proofErr w:type="spellStart"/>
      <w:r>
        <w:rPr>
          <w:rFonts w:ascii="Consolas" w:hAnsi="Consolas"/>
          <w:sz w:val="17"/>
        </w:rPr>
        <w:t>mul</w:t>
      </w:r>
      <w:proofErr w:type="spellEnd"/>
      <w:r>
        <w:rPr>
          <w:rFonts w:ascii="Consolas" w:hAnsi="Consolas"/>
          <w:sz w:val="17"/>
        </w:rPr>
        <w:t>(100)</w:t>
      </w:r>
      <w:r>
        <w:rPr>
          <w:rFonts w:ascii="Consolas" w:hAnsi="Consolas"/>
          <w:sz w:val="17"/>
        </w:rPr>
        <w:br/>
      </w:r>
      <w:r>
        <w:rPr>
          <w:rFonts w:ascii="Consolas" w:hAnsi="Consolas"/>
          <w:sz w:val="17"/>
        </w:rPr>
        <w:lastRenderedPageBreak/>
        <w:t xml:space="preserve">      .</w:t>
      </w:r>
      <w:proofErr w:type="spellStart"/>
      <w:r>
        <w:rPr>
          <w:rFonts w:ascii="Consolas" w:hAnsi="Consolas"/>
          <w:sz w:val="17"/>
        </w:rPr>
        <w:t>reset_index</w:t>
      </w:r>
      <w:proofErr w:type="spellEnd"/>
      <w:r>
        <w:rPr>
          <w:rFonts w:ascii="Consolas" w:hAnsi="Consolas"/>
          <w:sz w:val="17"/>
        </w:rPr>
        <w:t>()</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complaint_churn</w:t>
      </w:r>
      <w:proofErr w:type="spellEnd"/>
      <w:r>
        <w:rPr>
          <w:rFonts w:ascii="Consolas" w:hAnsi="Consolas"/>
          <w:sz w:val="17"/>
        </w:rPr>
        <w:t xml:space="preserve"> = (</w:t>
      </w:r>
      <w:r>
        <w:rPr>
          <w:rFonts w:ascii="Consolas" w:hAnsi="Consolas"/>
          <w:sz w:val="17"/>
        </w:rPr>
        <w:br/>
        <w:t xml:space="preserve">    </w:t>
      </w:r>
      <w:proofErr w:type="spellStart"/>
      <w:r>
        <w:rPr>
          <w:rFonts w:ascii="Consolas" w:hAnsi="Consolas"/>
          <w:sz w:val="17"/>
        </w:rPr>
        <w:t>df.groupby</w:t>
      </w:r>
      <w:proofErr w:type="spellEnd"/>
      <w:r>
        <w:rPr>
          <w:rFonts w:ascii="Consolas" w:hAnsi="Consolas"/>
          <w:sz w:val="17"/>
        </w:rPr>
        <w:t>("</w:t>
      </w:r>
      <w:proofErr w:type="spellStart"/>
      <w:r>
        <w:rPr>
          <w:rFonts w:ascii="Consolas" w:hAnsi="Consolas"/>
          <w:sz w:val="17"/>
        </w:rPr>
        <w:t>Complaint_Group</w:t>
      </w:r>
      <w:proofErr w:type="spellEnd"/>
      <w:r>
        <w:rPr>
          <w:rFonts w:ascii="Consolas" w:hAnsi="Consolas"/>
          <w:sz w:val="17"/>
        </w:rPr>
        <w:t>", observed=False)["Churn"]</w:t>
      </w:r>
      <w:r>
        <w:rPr>
          <w:rFonts w:ascii="Consolas" w:hAnsi="Consolas"/>
          <w:sz w:val="17"/>
        </w:rPr>
        <w:br/>
        <w:t xml:space="preserve">      .mean()</w:t>
      </w:r>
      <w:r>
        <w:rPr>
          <w:rFonts w:ascii="Consolas" w:hAnsi="Consolas"/>
          <w:sz w:val="17"/>
        </w:rPr>
        <w:br/>
        <w:t xml:space="preserve">      .</w:t>
      </w:r>
      <w:proofErr w:type="spellStart"/>
      <w:r>
        <w:rPr>
          <w:rFonts w:ascii="Consolas" w:hAnsi="Consolas"/>
          <w:sz w:val="17"/>
        </w:rPr>
        <w:t>mul</w:t>
      </w:r>
      <w:proofErr w:type="spellEnd"/>
      <w:r>
        <w:rPr>
          <w:rFonts w:ascii="Consolas" w:hAnsi="Consolas"/>
          <w:sz w:val="17"/>
        </w:rPr>
        <w:t>(100)</w:t>
      </w:r>
      <w:r>
        <w:rPr>
          <w:rFonts w:ascii="Consolas" w:hAnsi="Consolas"/>
          <w:sz w:val="17"/>
        </w:rPr>
        <w:br/>
        <w:t xml:space="preserve">      .</w:t>
      </w:r>
      <w:proofErr w:type="spellStart"/>
      <w:r>
        <w:rPr>
          <w:rFonts w:ascii="Consolas" w:hAnsi="Consolas"/>
          <w:sz w:val="17"/>
        </w:rPr>
        <w:t>reset_index</w:t>
      </w:r>
      <w:proofErr w:type="spellEnd"/>
      <w:r>
        <w:rPr>
          <w:rFonts w:ascii="Consolas" w:hAnsi="Consolas"/>
          <w:sz w:val="17"/>
        </w:rPr>
        <w:t>()</w:t>
      </w:r>
      <w:r>
        <w:rPr>
          <w:rFonts w:ascii="Consolas" w:hAnsi="Consolas"/>
          <w:sz w:val="17"/>
        </w:rPr>
        <w:br/>
        <w:t>)</w:t>
      </w:r>
    </w:p>
    <w:p w14:paraId="203BB39E" w14:textId="77777777" w:rsidR="0012529F" w:rsidRDefault="00000000">
      <w:pPr>
        <w:pStyle w:val="Heading2"/>
        <w:spacing w:before="160" w:after="100"/>
      </w:pPr>
      <w:r>
        <w:t>A.5 Example Visualization</w:t>
      </w:r>
    </w:p>
    <w:p w14:paraId="2D667390" w14:textId="77777777" w:rsidR="0012529F" w:rsidRDefault="00000000">
      <w:pPr>
        <w:shd w:val="clear" w:color="auto" w:fill="F2F2F2"/>
        <w:spacing w:after="120"/>
        <w:ind w:left="360" w:right="360"/>
      </w:pPr>
      <w:proofErr w:type="spellStart"/>
      <w:r>
        <w:rPr>
          <w:rFonts w:ascii="Consolas" w:hAnsi="Consolas"/>
          <w:sz w:val="17"/>
        </w:rPr>
        <w:t>plt.figure</w:t>
      </w:r>
      <w:proofErr w:type="spellEnd"/>
      <w:r>
        <w:rPr>
          <w:rFonts w:ascii="Consolas" w:hAnsi="Consolas"/>
          <w:sz w:val="17"/>
        </w:rPr>
        <w:t>(</w:t>
      </w:r>
      <w:proofErr w:type="spellStart"/>
      <w:r>
        <w:rPr>
          <w:rFonts w:ascii="Consolas" w:hAnsi="Consolas"/>
          <w:sz w:val="17"/>
        </w:rPr>
        <w:t>figsize</w:t>
      </w:r>
      <w:proofErr w:type="spellEnd"/>
      <w:r>
        <w:rPr>
          <w:rFonts w:ascii="Consolas" w:hAnsi="Consolas"/>
          <w:sz w:val="17"/>
        </w:rPr>
        <w:t>=(8, 5))</w:t>
      </w:r>
      <w:r>
        <w:rPr>
          <w:rFonts w:ascii="Consolas" w:hAnsi="Consolas"/>
          <w:sz w:val="17"/>
        </w:rPr>
        <w:br/>
      </w:r>
      <w:r>
        <w:rPr>
          <w:rFonts w:ascii="Consolas" w:hAnsi="Consolas"/>
          <w:sz w:val="17"/>
        </w:rPr>
        <w:br/>
      </w:r>
      <w:proofErr w:type="spellStart"/>
      <w:r>
        <w:rPr>
          <w:rFonts w:ascii="Consolas" w:hAnsi="Consolas"/>
          <w:sz w:val="17"/>
        </w:rPr>
        <w:t>sns.barplot</w:t>
      </w:r>
      <w:proofErr w:type="spellEnd"/>
      <w:r>
        <w:rPr>
          <w:rFonts w:ascii="Consolas" w:hAnsi="Consolas"/>
          <w:sz w:val="17"/>
        </w:rPr>
        <w:t>(</w:t>
      </w:r>
      <w:r>
        <w:rPr>
          <w:rFonts w:ascii="Consolas" w:hAnsi="Consolas"/>
          <w:sz w:val="17"/>
        </w:rPr>
        <w:br/>
        <w:t xml:space="preserve">    data=</w:t>
      </w:r>
      <w:proofErr w:type="spellStart"/>
      <w:r>
        <w:rPr>
          <w:rFonts w:ascii="Consolas" w:hAnsi="Consolas"/>
          <w:sz w:val="17"/>
        </w:rPr>
        <w:t>contract_churn</w:t>
      </w:r>
      <w:proofErr w:type="spellEnd"/>
      <w:r>
        <w:rPr>
          <w:rFonts w:ascii="Consolas" w:hAnsi="Consolas"/>
          <w:sz w:val="17"/>
        </w:rPr>
        <w:t>,</w:t>
      </w:r>
      <w:r>
        <w:rPr>
          <w:rFonts w:ascii="Consolas" w:hAnsi="Consolas"/>
          <w:sz w:val="17"/>
        </w:rPr>
        <w:br/>
        <w:t xml:space="preserve">    x="</w:t>
      </w:r>
      <w:proofErr w:type="spellStart"/>
      <w:r>
        <w:rPr>
          <w:rFonts w:ascii="Consolas" w:hAnsi="Consolas"/>
          <w:sz w:val="17"/>
        </w:rPr>
        <w:t>Contract_Type</w:t>
      </w:r>
      <w:proofErr w:type="spellEnd"/>
      <w:r>
        <w:rPr>
          <w:rFonts w:ascii="Consolas" w:hAnsi="Consolas"/>
          <w:sz w:val="17"/>
        </w:rPr>
        <w:t>",</w:t>
      </w:r>
      <w:r>
        <w:rPr>
          <w:rFonts w:ascii="Consolas" w:hAnsi="Consolas"/>
          <w:sz w:val="17"/>
        </w:rPr>
        <w:br/>
        <w:t xml:space="preserve">    y="Churn"</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plt.title</w:t>
      </w:r>
      <w:proofErr w:type="spellEnd"/>
      <w:r>
        <w:rPr>
          <w:rFonts w:ascii="Consolas" w:hAnsi="Consolas"/>
          <w:sz w:val="17"/>
        </w:rPr>
        <w:t>("Customer Churn Rate by Contract Type")</w:t>
      </w:r>
      <w:r>
        <w:rPr>
          <w:rFonts w:ascii="Consolas" w:hAnsi="Consolas"/>
          <w:sz w:val="17"/>
        </w:rPr>
        <w:br/>
      </w:r>
      <w:proofErr w:type="spellStart"/>
      <w:r>
        <w:rPr>
          <w:rFonts w:ascii="Consolas" w:hAnsi="Consolas"/>
          <w:sz w:val="17"/>
        </w:rPr>
        <w:t>plt.xlabel</w:t>
      </w:r>
      <w:proofErr w:type="spellEnd"/>
      <w:r>
        <w:rPr>
          <w:rFonts w:ascii="Consolas" w:hAnsi="Consolas"/>
          <w:sz w:val="17"/>
        </w:rPr>
        <w:t>("Contract Type")</w:t>
      </w:r>
      <w:r>
        <w:rPr>
          <w:rFonts w:ascii="Consolas" w:hAnsi="Consolas"/>
          <w:sz w:val="17"/>
        </w:rPr>
        <w:br/>
      </w:r>
      <w:proofErr w:type="spellStart"/>
      <w:r>
        <w:rPr>
          <w:rFonts w:ascii="Consolas" w:hAnsi="Consolas"/>
          <w:sz w:val="17"/>
        </w:rPr>
        <w:t>plt.ylabel</w:t>
      </w:r>
      <w:proofErr w:type="spellEnd"/>
      <w:r>
        <w:rPr>
          <w:rFonts w:ascii="Consolas" w:hAnsi="Consolas"/>
          <w:sz w:val="17"/>
        </w:rPr>
        <w:t>("Churn Rate (%)")</w:t>
      </w:r>
      <w:r>
        <w:rPr>
          <w:rFonts w:ascii="Consolas" w:hAnsi="Consolas"/>
          <w:sz w:val="17"/>
        </w:rPr>
        <w:br/>
      </w:r>
      <w:proofErr w:type="spellStart"/>
      <w:r>
        <w:rPr>
          <w:rFonts w:ascii="Consolas" w:hAnsi="Consolas"/>
          <w:sz w:val="17"/>
        </w:rPr>
        <w:t>plt.tight_layout</w:t>
      </w:r>
      <w:proofErr w:type="spellEnd"/>
      <w:r>
        <w:rPr>
          <w:rFonts w:ascii="Consolas" w:hAnsi="Consolas"/>
          <w:sz w:val="17"/>
        </w:rPr>
        <w:t>()</w:t>
      </w:r>
      <w:r>
        <w:rPr>
          <w:rFonts w:ascii="Consolas" w:hAnsi="Consolas"/>
          <w:sz w:val="17"/>
        </w:rPr>
        <w:br/>
      </w:r>
      <w:proofErr w:type="spellStart"/>
      <w:r>
        <w:rPr>
          <w:rFonts w:ascii="Consolas" w:hAnsi="Consolas"/>
          <w:sz w:val="17"/>
        </w:rPr>
        <w:t>plt.show</w:t>
      </w:r>
      <w:proofErr w:type="spellEnd"/>
      <w:r>
        <w:rPr>
          <w:rFonts w:ascii="Consolas" w:hAnsi="Consolas"/>
          <w:sz w:val="17"/>
        </w:rPr>
        <w:t>()</w:t>
      </w:r>
    </w:p>
    <w:p w14:paraId="4E6C39DF" w14:textId="77777777" w:rsidR="0012529F" w:rsidRDefault="00000000">
      <w:r>
        <w:br w:type="page"/>
      </w:r>
    </w:p>
    <w:p w14:paraId="28F502B2" w14:textId="77777777" w:rsidR="0012529F" w:rsidRDefault="00000000">
      <w:pPr>
        <w:pStyle w:val="Heading1"/>
        <w:spacing w:before="160" w:after="100"/>
      </w:pPr>
      <w:r>
        <w:lastRenderedPageBreak/>
        <w:t>Appendix B. Workflow Summary</w:t>
      </w:r>
    </w:p>
    <w:tbl>
      <w:tblPr>
        <w:tblStyle w:val="TableGrid"/>
        <w:tblW w:w="0" w:type="auto"/>
        <w:jc w:val="center"/>
        <w:tblLook w:val="04A0" w:firstRow="1" w:lastRow="0" w:firstColumn="1" w:lastColumn="0" w:noHBand="0" w:noVBand="1"/>
      </w:tblPr>
      <w:tblGrid>
        <w:gridCol w:w="5040"/>
        <w:gridCol w:w="5040"/>
      </w:tblGrid>
      <w:tr w:rsidR="0012529F" w14:paraId="320364C9" w14:textId="77777777">
        <w:trPr>
          <w:jc w:val="center"/>
        </w:trPr>
        <w:tc>
          <w:tcPr>
            <w:tcW w:w="5040" w:type="dxa"/>
            <w:vAlign w:val="center"/>
          </w:tcPr>
          <w:p w14:paraId="5A75229B" w14:textId="77777777" w:rsidR="0012529F" w:rsidRDefault="00000000">
            <w:pPr>
              <w:jc w:val="center"/>
            </w:pPr>
            <w:r>
              <w:rPr>
                <w:b/>
              </w:rPr>
              <w:t>Stage</w:t>
            </w:r>
          </w:p>
        </w:tc>
        <w:tc>
          <w:tcPr>
            <w:tcW w:w="5040" w:type="dxa"/>
            <w:vAlign w:val="center"/>
          </w:tcPr>
          <w:p w14:paraId="5ABD7A23" w14:textId="77777777" w:rsidR="0012529F" w:rsidRDefault="00000000">
            <w:pPr>
              <w:jc w:val="center"/>
            </w:pPr>
            <w:r>
              <w:rPr>
                <w:b/>
              </w:rPr>
              <w:t>Work Completed</w:t>
            </w:r>
          </w:p>
        </w:tc>
      </w:tr>
      <w:tr w:rsidR="0012529F" w14:paraId="789320C2" w14:textId="77777777">
        <w:trPr>
          <w:jc w:val="center"/>
        </w:trPr>
        <w:tc>
          <w:tcPr>
            <w:tcW w:w="5040" w:type="dxa"/>
            <w:vAlign w:val="center"/>
          </w:tcPr>
          <w:p w14:paraId="473E4537" w14:textId="77777777" w:rsidR="0012529F" w:rsidRDefault="00000000">
            <w:pPr>
              <w:jc w:val="center"/>
            </w:pPr>
            <w:r>
              <w:t>1. Data Loading</w:t>
            </w:r>
          </w:p>
        </w:tc>
        <w:tc>
          <w:tcPr>
            <w:tcW w:w="5040" w:type="dxa"/>
            <w:vAlign w:val="center"/>
          </w:tcPr>
          <w:p w14:paraId="3AF232C9" w14:textId="77777777" w:rsidR="0012529F" w:rsidRDefault="00000000">
            <w:pPr>
              <w:jc w:val="center"/>
            </w:pPr>
            <w:r>
              <w:t>Loaded customer churn CSV in VS Code using Pandas</w:t>
            </w:r>
          </w:p>
        </w:tc>
      </w:tr>
      <w:tr w:rsidR="0012529F" w14:paraId="5349C3F6" w14:textId="77777777">
        <w:trPr>
          <w:jc w:val="center"/>
        </w:trPr>
        <w:tc>
          <w:tcPr>
            <w:tcW w:w="5040" w:type="dxa"/>
            <w:vAlign w:val="center"/>
          </w:tcPr>
          <w:p w14:paraId="3F5CA737" w14:textId="77777777" w:rsidR="0012529F" w:rsidRDefault="00000000">
            <w:pPr>
              <w:jc w:val="center"/>
            </w:pPr>
            <w:r>
              <w:t>2. Data Inspection</w:t>
            </w:r>
          </w:p>
        </w:tc>
        <w:tc>
          <w:tcPr>
            <w:tcW w:w="5040" w:type="dxa"/>
            <w:vAlign w:val="center"/>
          </w:tcPr>
          <w:p w14:paraId="6087C2D1" w14:textId="77777777" w:rsidR="0012529F" w:rsidRDefault="00000000">
            <w:pPr>
              <w:jc w:val="center"/>
            </w:pPr>
            <w:r>
              <w:t>Checked shape, columns, data types and sample records</w:t>
            </w:r>
          </w:p>
        </w:tc>
      </w:tr>
      <w:tr w:rsidR="0012529F" w14:paraId="01CCDA26" w14:textId="77777777">
        <w:trPr>
          <w:jc w:val="center"/>
        </w:trPr>
        <w:tc>
          <w:tcPr>
            <w:tcW w:w="5040" w:type="dxa"/>
            <w:vAlign w:val="center"/>
          </w:tcPr>
          <w:p w14:paraId="4FEF8DC2" w14:textId="77777777" w:rsidR="0012529F" w:rsidRDefault="00000000">
            <w:pPr>
              <w:jc w:val="center"/>
            </w:pPr>
            <w:r>
              <w:t>3. Data Cleaning</w:t>
            </w:r>
          </w:p>
        </w:tc>
        <w:tc>
          <w:tcPr>
            <w:tcW w:w="5040" w:type="dxa"/>
            <w:vAlign w:val="center"/>
          </w:tcPr>
          <w:p w14:paraId="341E19B4" w14:textId="77777777" w:rsidR="0012529F" w:rsidRDefault="00000000">
            <w:pPr>
              <w:jc w:val="center"/>
            </w:pPr>
            <w:r>
              <w:t>Checked and handled missing values, duplicates and consistency</w:t>
            </w:r>
          </w:p>
        </w:tc>
      </w:tr>
      <w:tr w:rsidR="0012529F" w14:paraId="35320DA3" w14:textId="77777777">
        <w:trPr>
          <w:jc w:val="center"/>
        </w:trPr>
        <w:tc>
          <w:tcPr>
            <w:tcW w:w="5040" w:type="dxa"/>
            <w:vAlign w:val="center"/>
          </w:tcPr>
          <w:p w14:paraId="2AD9896C" w14:textId="77777777" w:rsidR="0012529F" w:rsidRDefault="00000000">
            <w:pPr>
              <w:jc w:val="center"/>
            </w:pPr>
            <w:r>
              <w:t>4. EDA</w:t>
            </w:r>
          </w:p>
        </w:tc>
        <w:tc>
          <w:tcPr>
            <w:tcW w:w="5040" w:type="dxa"/>
            <w:vAlign w:val="center"/>
          </w:tcPr>
          <w:p w14:paraId="7679AEC1" w14:textId="77777777" w:rsidR="0012529F" w:rsidRDefault="00000000">
            <w:pPr>
              <w:jc w:val="center"/>
            </w:pPr>
            <w:r>
              <w:t>Calculated descriptive statistics and churn distribution</w:t>
            </w:r>
          </w:p>
        </w:tc>
      </w:tr>
      <w:tr w:rsidR="0012529F" w14:paraId="7FBA211B" w14:textId="77777777">
        <w:trPr>
          <w:jc w:val="center"/>
        </w:trPr>
        <w:tc>
          <w:tcPr>
            <w:tcW w:w="5040" w:type="dxa"/>
            <w:vAlign w:val="center"/>
          </w:tcPr>
          <w:p w14:paraId="5C41F2DD" w14:textId="77777777" w:rsidR="0012529F" w:rsidRDefault="00000000">
            <w:pPr>
              <w:jc w:val="center"/>
            </w:pPr>
            <w:r>
              <w:t>5. Group Creation</w:t>
            </w:r>
          </w:p>
        </w:tc>
        <w:tc>
          <w:tcPr>
            <w:tcW w:w="5040" w:type="dxa"/>
            <w:vAlign w:val="center"/>
          </w:tcPr>
          <w:p w14:paraId="690F0184" w14:textId="77777777" w:rsidR="0012529F" w:rsidRDefault="00000000">
            <w:pPr>
              <w:jc w:val="center"/>
            </w:pPr>
            <w:r>
              <w:t>Created meaningful tenure, complaint, support, charge and login groups</w:t>
            </w:r>
          </w:p>
        </w:tc>
      </w:tr>
      <w:tr w:rsidR="0012529F" w14:paraId="0FB64A6F" w14:textId="77777777">
        <w:trPr>
          <w:jc w:val="center"/>
        </w:trPr>
        <w:tc>
          <w:tcPr>
            <w:tcW w:w="5040" w:type="dxa"/>
            <w:vAlign w:val="center"/>
          </w:tcPr>
          <w:p w14:paraId="22950830" w14:textId="77777777" w:rsidR="0012529F" w:rsidRDefault="00000000">
            <w:pPr>
              <w:jc w:val="center"/>
            </w:pPr>
            <w:r>
              <w:t>6. Aggregation</w:t>
            </w:r>
          </w:p>
        </w:tc>
        <w:tc>
          <w:tcPr>
            <w:tcW w:w="5040" w:type="dxa"/>
            <w:vAlign w:val="center"/>
          </w:tcPr>
          <w:p w14:paraId="4A67EB2F" w14:textId="77777777" w:rsidR="0012529F" w:rsidRDefault="00000000">
            <w:pPr>
              <w:jc w:val="center"/>
            </w:pPr>
            <w:r>
              <w:t>Calculated churn rates for each analytical group</w:t>
            </w:r>
          </w:p>
        </w:tc>
      </w:tr>
      <w:tr w:rsidR="0012529F" w14:paraId="1A98A0D0" w14:textId="77777777">
        <w:trPr>
          <w:jc w:val="center"/>
        </w:trPr>
        <w:tc>
          <w:tcPr>
            <w:tcW w:w="5040" w:type="dxa"/>
            <w:vAlign w:val="center"/>
          </w:tcPr>
          <w:p w14:paraId="5F524E6D" w14:textId="77777777" w:rsidR="0012529F" w:rsidRDefault="00000000">
            <w:pPr>
              <w:jc w:val="center"/>
            </w:pPr>
            <w:r>
              <w:t>7. Visualization</w:t>
            </w:r>
          </w:p>
        </w:tc>
        <w:tc>
          <w:tcPr>
            <w:tcW w:w="5040" w:type="dxa"/>
            <w:vAlign w:val="center"/>
          </w:tcPr>
          <w:p w14:paraId="73979E16" w14:textId="77777777" w:rsidR="0012529F" w:rsidRDefault="00000000">
            <w:pPr>
              <w:jc w:val="center"/>
            </w:pPr>
            <w:r>
              <w:t>Created bar charts using Matplotlib and Seaborn</w:t>
            </w:r>
          </w:p>
        </w:tc>
      </w:tr>
      <w:tr w:rsidR="0012529F" w14:paraId="4EB38193" w14:textId="77777777">
        <w:trPr>
          <w:jc w:val="center"/>
        </w:trPr>
        <w:tc>
          <w:tcPr>
            <w:tcW w:w="5040" w:type="dxa"/>
            <w:vAlign w:val="center"/>
          </w:tcPr>
          <w:p w14:paraId="6C5E17E9" w14:textId="77777777" w:rsidR="0012529F" w:rsidRDefault="00000000">
            <w:pPr>
              <w:jc w:val="center"/>
            </w:pPr>
            <w:r>
              <w:t>8. Storytelling</w:t>
            </w:r>
          </w:p>
        </w:tc>
        <w:tc>
          <w:tcPr>
            <w:tcW w:w="5040" w:type="dxa"/>
            <w:vAlign w:val="center"/>
          </w:tcPr>
          <w:p w14:paraId="70C8495E" w14:textId="77777777" w:rsidR="0012529F" w:rsidRDefault="00000000">
            <w:pPr>
              <w:jc w:val="center"/>
            </w:pPr>
            <w:r>
              <w:t>Compared groups using exact values and baseline differences</w:t>
            </w:r>
          </w:p>
        </w:tc>
      </w:tr>
      <w:tr w:rsidR="0012529F" w14:paraId="73F6387E" w14:textId="77777777">
        <w:trPr>
          <w:jc w:val="center"/>
        </w:trPr>
        <w:tc>
          <w:tcPr>
            <w:tcW w:w="5040" w:type="dxa"/>
            <w:vAlign w:val="center"/>
          </w:tcPr>
          <w:p w14:paraId="577EC9EE" w14:textId="77777777" w:rsidR="0012529F" w:rsidRDefault="00000000">
            <w:pPr>
              <w:jc w:val="center"/>
            </w:pPr>
            <w:r>
              <w:t>9. Combined Analysis</w:t>
            </w:r>
          </w:p>
        </w:tc>
        <w:tc>
          <w:tcPr>
            <w:tcW w:w="5040" w:type="dxa"/>
            <w:vAlign w:val="center"/>
          </w:tcPr>
          <w:p w14:paraId="36158E05" w14:textId="77777777" w:rsidR="0012529F" w:rsidRDefault="00000000">
            <w:pPr>
              <w:jc w:val="center"/>
            </w:pPr>
            <w:r>
              <w:t>Examined contract type together with tenure</w:t>
            </w:r>
          </w:p>
        </w:tc>
      </w:tr>
      <w:tr w:rsidR="0012529F" w14:paraId="1BDC61CF" w14:textId="77777777">
        <w:trPr>
          <w:jc w:val="center"/>
        </w:trPr>
        <w:tc>
          <w:tcPr>
            <w:tcW w:w="5040" w:type="dxa"/>
            <w:vAlign w:val="center"/>
          </w:tcPr>
          <w:p w14:paraId="47E24271" w14:textId="77777777" w:rsidR="0012529F" w:rsidRDefault="00000000">
            <w:pPr>
              <w:jc w:val="center"/>
            </w:pPr>
            <w:r>
              <w:t>10. Documentation</w:t>
            </w:r>
          </w:p>
        </w:tc>
        <w:tc>
          <w:tcPr>
            <w:tcW w:w="5040" w:type="dxa"/>
            <w:vAlign w:val="center"/>
          </w:tcPr>
          <w:p w14:paraId="4E1BCEE1" w14:textId="77777777" w:rsidR="0012529F" w:rsidRDefault="00000000">
            <w:pPr>
              <w:jc w:val="center"/>
            </w:pPr>
            <w:r>
              <w:t>Recorded insights, limitations and reproducibility information</w:t>
            </w:r>
          </w:p>
        </w:tc>
      </w:tr>
    </w:tbl>
    <w:p w14:paraId="70A11465" w14:textId="77777777" w:rsidR="0012529F" w:rsidRDefault="0012529F"/>
    <w:p w14:paraId="6E984A7E" w14:textId="77777777" w:rsidR="0012529F" w:rsidRDefault="00000000">
      <w:pPr>
        <w:spacing w:after="120" w:line="259" w:lineRule="auto"/>
      </w:pPr>
      <w:r>
        <w:t>Tools used: Python, Pandas, NumPy, Matplotlib, Seaborn and Visual Studio Code. No machine-learning model, prediction, risk score or forecasting component was used in this Week 2 assignment.</w:t>
      </w:r>
    </w:p>
    <w:p w14:paraId="636EC1E0" w14:textId="77777777" w:rsidR="0012529F" w:rsidRDefault="00000000">
      <w:pPr>
        <w:pStyle w:val="Heading1"/>
        <w:spacing w:before="160" w:after="100"/>
      </w:pPr>
      <w:r>
        <w:t>References</w:t>
      </w:r>
    </w:p>
    <w:p w14:paraId="2B10A331" w14:textId="77777777" w:rsidR="0012529F" w:rsidRDefault="00000000">
      <w:pPr>
        <w:pStyle w:val="ListBullet"/>
        <w:spacing w:after="60"/>
      </w:pPr>
      <w:r>
        <w:t>Pandas documentation — https://pandas.pydata.org/docs/</w:t>
      </w:r>
    </w:p>
    <w:p w14:paraId="38514919" w14:textId="77777777" w:rsidR="0012529F" w:rsidRDefault="00000000">
      <w:pPr>
        <w:pStyle w:val="ListBullet"/>
        <w:spacing w:after="60"/>
      </w:pPr>
      <w:r>
        <w:t>NumPy documentation — https://numpy.org/doc/</w:t>
      </w:r>
    </w:p>
    <w:p w14:paraId="216E03B3" w14:textId="77777777" w:rsidR="0012529F" w:rsidRDefault="00000000">
      <w:pPr>
        <w:pStyle w:val="ListBullet"/>
        <w:spacing w:after="60"/>
      </w:pPr>
      <w:r>
        <w:t>Matplotlib documentation — https://matplotlib.org/stable/</w:t>
      </w:r>
    </w:p>
    <w:p w14:paraId="1490A5AC" w14:textId="77777777" w:rsidR="0012529F" w:rsidRDefault="00000000">
      <w:pPr>
        <w:pStyle w:val="ListBullet"/>
        <w:spacing w:after="60"/>
      </w:pPr>
      <w:r>
        <w:t>Seaborn documentation — https://seaborn.pydata.org/</w:t>
      </w:r>
    </w:p>
    <w:sectPr w:rsidR="0012529F" w:rsidSect="00034616">
      <w:headerReference w:type="default" r:id="rId18"/>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06A94" w14:textId="77777777" w:rsidR="00A95374" w:rsidRDefault="00A95374">
      <w:pPr>
        <w:spacing w:after="0" w:line="240" w:lineRule="auto"/>
      </w:pPr>
      <w:r>
        <w:separator/>
      </w:r>
    </w:p>
  </w:endnote>
  <w:endnote w:type="continuationSeparator" w:id="0">
    <w:p w14:paraId="738B6C65" w14:textId="77777777" w:rsidR="00A95374" w:rsidRDefault="00A95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413D" w14:textId="666D29A9" w:rsidR="0012529F" w:rsidRDefault="0012529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DA48" w14:textId="77777777" w:rsidR="00A95374" w:rsidRDefault="00A95374">
      <w:pPr>
        <w:spacing w:after="0" w:line="240" w:lineRule="auto"/>
      </w:pPr>
      <w:r>
        <w:separator/>
      </w:r>
    </w:p>
  </w:footnote>
  <w:footnote w:type="continuationSeparator" w:id="0">
    <w:p w14:paraId="1DAB3AC1" w14:textId="77777777" w:rsidR="00A95374" w:rsidRDefault="00A95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8711" w14:textId="712839BD" w:rsidR="0012529F" w:rsidRDefault="0012529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56959">
    <w:abstractNumId w:val="8"/>
  </w:num>
  <w:num w:numId="2" w16cid:durableId="833030658">
    <w:abstractNumId w:val="6"/>
  </w:num>
  <w:num w:numId="3" w16cid:durableId="818107369">
    <w:abstractNumId w:val="5"/>
  </w:num>
  <w:num w:numId="4" w16cid:durableId="1970746441">
    <w:abstractNumId w:val="4"/>
  </w:num>
  <w:num w:numId="5" w16cid:durableId="2074502489">
    <w:abstractNumId w:val="7"/>
  </w:num>
  <w:num w:numId="6" w16cid:durableId="193007269">
    <w:abstractNumId w:val="3"/>
  </w:num>
  <w:num w:numId="7" w16cid:durableId="1068572991">
    <w:abstractNumId w:val="2"/>
  </w:num>
  <w:num w:numId="8" w16cid:durableId="499544775">
    <w:abstractNumId w:val="1"/>
  </w:num>
  <w:num w:numId="9" w16cid:durableId="108823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1E7"/>
    <w:rsid w:val="0012529F"/>
    <w:rsid w:val="0015074B"/>
    <w:rsid w:val="0029639D"/>
    <w:rsid w:val="00326F90"/>
    <w:rsid w:val="003511CF"/>
    <w:rsid w:val="004643A4"/>
    <w:rsid w:val="006A476E"/>
    <w:rsid w:val="0091155A"/>
    <w:rsid w:val="00A427C8"/>
    <w:rsid w:val="00A55BAB"/>
    <w:rsid w:val="00A95374"/>
    <w:rsid w:val="00AA1D8D"/>
    <w:rsid w:val="00B47730"/>
    <w:rsid w:val="00C67B09"/>
    <w:rsid w:val="00CB0664"/>
    <w:rsid w:val="00D51092"/>
    <w:rsid w:val="00DD70B6"/>
    <w:rsid w:val="00E52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73E46"/>
  <w14:defaultImageDpi w14:val="300"/>
  <w15:docId w15:val="{F966D87C-69C7-429B-8A9F-4FB73A74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23</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2026-10-08T10:04:00Z</dcterms:modified>
  <cp:category/>
</cp:coreProperties>
</file>