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80" w:after="100" w:line="276" w:lineRule="auto"/>
      </w:pPr>
      <w:r>
        <w:rPr>
          <w:b/>
          <w:sz w:val="40"/>
          <w:szCs w:val="40"/>
        </w:rPr>
        <w:t xml:space="preserve">ADVANCED SYSTEM ARCHITECTURE REPORT</w:t>
      </w:r>
    </w:p>
    <w:p>
      <w:pPr>
        <w:jc w:val="left"/>
        <w:spacing w:before="135" w:after="100" w:line="276" w:lineRule="auto"/>
      </w:pPr>
      <w:r>
        <w:rPr>
          <w:sz w:val="22"/>
          <w:szCs w:val="22"/>
        </w:rPr>
        <w:t xml:space="preserve">Prepared by Global Engineering Team | September 2026</w:t>
      </w:r>
    </w:p>
    <w:p>
      <w:pPr>
        <w:jc w:val="center"/>
        <w:spacing w:before="300" w:after="100" w:line="276" w:lineRule="auto"/>
      </w:pPr>
      <w:r>
        <w:rPr>
          <w:sz w:val="20"/>
          <w:szCs w:val="20"/>
        </w:rPr>
        <w:t xml:space="preserve">This document provides a comprehensive overview of modern microservice conversion pipelines.</w:t>
      </w:r>
      <w:r>
        <w:rPr>
          <w:sz w:val="20"/>
          <w:szCs w:val="20"/>
        </w:rPr>
        <w:t xml:space="preserve"> Our mission is to achieve 100% fidelity when converting documents between PDF, Word, and Excel</w:t>
      </w:r>
      <w:r>
        <w:rPr>
          <w:sz w:val="20"/>
          <w:szCs w:val="20"/>
        </w:rPr>
        <w:t xml:space="preserve"> formats without sacrificing visual structure, alignment, or text readability.</w:t>
      </w:r>
    </w:p>
    <w:p>
      <w:pPr>
        <w:pStyle w:val="Heading2"/>
        <w:jc w:val="left"/>
        <w:spacing w:before="285" w:after="100" w:line="276" w:lineRule="auto"/>
      </w:pPr>
      <w:r>
        <w:rPr>
          <w:b/>
          <w:sz w:val="26"/>
          <w:szCs w:val="26"/>
        </w:rPr>
        <w:t xml:space="preserve">KEY OBJECTIVES</w:t>
      </w:r>
    </w:p>
    <w:p>
      <w:pPr>
        <w:jc w:val="left"/>
        <w:ind w:left="720" w:hanging="360"/>
        <w:spacing w:before="180" w:after="100" w:line="276" w:lineRule="auto"/>
      </w:pPr>
      <w:r>
        <w:rPr>
          <w:sz w:val="20"/>
          <w:szCs w:val="20"/>
        </w:rPr>
        <w:t xml:space="preserve">• High precision layout reconstruction with automatic column detection.</w:t>
      </w:r>
    </w:p>
    <w:p>
      <w:pPr>
        <w:jc w:val="left"/>
        <w:ind w:left="720" w:hanging="360"/>
        <w:spacing w:before="90" w:after="100" w:line="276" w:lineRule="auto"/>
      </w:pPr>
      <w:r>
        <w:rPr>
          <w:sz w:val="20"/>
          <w:szCs w:val="20"/>
        </w:rPr>
        <w:t xml:space="preserve">• Natural paragraph reflow eliminating artificial hard line breaks.</w:t>
      </w:r>
    </w:p>
    <w:p>
      <w:pPr>
        <w:jc w:val="left"/>
        <w:ind w:left="720" w:hanging="360"/>
        <w:spacing w:before="90" w:after="100" w:line="276" w:lineRule="auto"/>
      </w:pPr>
      <w:r>
        <w:rPr>
          <w:sz w:val="20"/>
          <w:szCs w:val="20"/>
        </w:rPr>
        <w:t xml:space="preserve">• Full support for bold, italic, font scaling, and custom margins.</w:t>
      </w:r>
    </w:p>
    <w:p>
      <w:pPr>
        <w:pStyle w:val="Heading3"/>
        <w:jc w:val="left"/>
        <w:spacing w:before="360" w:after="100" w:line="276" w:lineRule="auto"/>
      </w:pPr>
      <w:r>
        <w:rPr>
          <w:sz w:val="24"/>
          <w:szCs w:val="24"/>
        </w:rPr>
        <w:t xml:space="preserve">SIDEBAR INFO</w:t>
      </w:r>
      <w:r>
        <w:rPr>
          <w:sz w:val="24"/>
          <w:szCs w:val="24"/>
        </w:rPr>
        <w:t xml:space="preserve">DETAILED SPECIFICATIONS</w:t>
      </w:r>
    </w:p>
    <w:p>
      <w:pPr>
        <w:jc w:val="left"/>
        <w:spacing w:before="135" w:after="100" w:line="276" w:lineRule="auto"/>
      </w:pPr>
      <w:r>
        <w:rPr>
          <w:sz w:val="18"/>
          <w:szCs w:val="18"/>
        </w:rPr>
        <w:t xml:space="preserve">Status: Production Ready</w:t>
      </w:r>
      <w:r>
        <w:rPr>
          <w:sz w:val="19"/>
          <w:szCs w:val="19"/>
        </w:rPr>
        <w:t xml:space="preserve">The layout reconstruction engine continuously analyzes bounding coordinates</w:t>
      </w:r>
      <w:r>
        <w:rPr>
          <w:sz w:val="18"/>
          <w:szCs w:val="18"/>
        </w:rPr>
        <w:t xml:space="preserve"> Version: v4.2.0</w:t>
      </w:r>
      <w:r>
        <w:rPr>
          <w:sz w:val="19"/>
          <w:szCs w:val="19"/>
        </w:rPr>
        <w:t xml:space="preserve">to ensure that sidebars and main content areas remain cleanly separated.</w:t>
      </w:r>
      <w:r>
        <w:rPr>
          <w:sz w:val="18"/>
          <w:szCs w:val="18"/>
        </w:rPr>
        <w:t xml:space="preserve"> License: Enterprise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  <w:lang w:val="en-US"/>
      </w:rPr>
    </w:rPrDefault>
  </w:docDefaults>
  <w:style w:type="paragraph" w:styleId="Title">
    <w:name w:val="Title"/>
    <w:rPr>
      <w:b/>
      <w:sz w:val="44"/>
      <w:szCs w:val="44"/>
      <w:color w:val="0F172A"/>
    </w:rPr>
  </w:style>
  <w:style w:type="paragraph" w:styleId="Heading1">
    <w:name w:val="heading 1"/>
    <w:rPr>
      <w:b/>
      <w:sz w:val="36"/>
      <w:szCs w:val="36"/>
      <w:color w:val="0F172A"/>
    </w:rPr>
  </w:style>
  <w:style w:type="paragraph" w:styleId="Heading2">
    <w:name w:val="heading 2"/>
    <w:rPr>
      <w:b/>
      <w:sz w:val="28"/>
      <w:szCs w:val="28"/>
      <w:color w:val="1E293B"/>
    </w:rPr>
  </w:style>
  <w:style w:type="paragraph" w:styleId="Heading3">
    <w:name w:val="heading 3"/>
    <w:rPr>
      <w:b/>
      <w:sz w:val="24"/>
      <w:szCs w:val="24"/>
      <w:color w:val="334155"/>
    </w:rPr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