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  <w:jc w:val="left"/>
        <w:spacing w:before="80" w:after="120" w:line="276" w:lineRule="auto"/>
      </w:pPr>
      <w:r>
        <w:rPr>
          <w:sz w:val="44"/>
          <w:szCs w:val="44"/>
        </w:rPr>
        <w:t xml:space="preserve">EXECUTIVE SUMMARY &amp; PROPOSAL</w:t>
      </w:r>
    </w:p>
    <w:p>
      <w:pPr>
        <w:jc w:val="left"/>
        <w:spacing w:before="192" w:after="120" w:line="276" w:lineRule="auto"/>
      </w:pPr>
      <w:r>
        <w:rPr>
          <w:sz w:val="24"/>
          <w:szCs w:val="24"/>
        </w:rPr>
        <w:t xml:space="preserve">Enterprise Cloud Modernization &amp; Architecture Transformation</w:t>
      </w:r>
    </w:p>
    <w:p>
      <w:pPr>
        <w:jc w:val="center"/>
        <w:spacing w:before="360" w:after="120" w:line="276" w:lineRule="auto"/>
      </w:pPr>
      <w:r>
        <w:rPr>
          <w:sz w:val="21"/>
          <w:szCs w:val="21"/>
        </w:rPr>
        <w:t xml:space="preserve">This proposal outlines the strategy for migrating monolithic infrastructure to a high-availability</w:t>
      </w:r>
      <w:r>
        <w:rPr>
          <w:sz w:val="21"/>
          <w:szCs w:val="21"/>
        </w:rPr>
        <w:t xml:space="preserve"> cloud-native serverless microservices framework. Our architecture guarantees 99.99% uptime,</w:t>
      </w:r>
      <w:r>
        <w:rPr>
          <w:sz w:val="21"/>
          <w:szCs w:val="21"/>
        </w:rPr>
        <w:t xml:space="preserve"> automated multi-region failover, and sub-100ms API response latency globally.</w:t>
      </w:r>
    </w:p>
    <w:p>
      <w:pPr>
        <w:pStyle w:val="Heading2"/>
        <w:keepNext/>
        <w:jc w:val="left"/>
        <w:ind w:left="540" w:hanging="280"/>
        <w:spacing w:before="320" w:after="120" w:line="276" w:lineRule="auto"/>
      </w:pPr>
      <w:r>
        <w:rPr>
          <w:sz w:val="28"/>
          <w:szCs w:val="28"/>
        </w:rPr>
        <w:t xml:space="preserve">1. ARCHITECTURE PRINCIPLES</w:t>
      </w:r>
    </w:p>
    <w:p>
      <w:pPr>
        <w:jc w:val="center"/>
        <w:ind w:left="540" w:hanging="280"/>
        <w:spacing w:before="224" w:after="120" w:line="276" w:lineRule="auto"/>
      </w:pPr>
      <w:r>
        <w:rPr>
          <w:sz w:val="20"/>
          <w:szCs w:val="20"/>
        </w:rPr>
        <w:t xml:space="preserve">• Decoupled Services: Independent deployment cycles and containerized microservices.</w:t>
      </w:r>
    </w:p>
    <w:p>
      <w:pPr>
        <w:jc w:val="left"/>
        <w:ind w:left="540" w:hanging="280"/>
        <w:spacing w:before="96" w:after="120" w:line="276" w:lineRule="auto"/>
      </w:pPr>
      <w:r>
        <w:rPr>
          <w:sz w:val="20"/>
          <w:szCs w:val="20"/>
        </w:rPr>
        <w:t xml:space="preserve">• Zero Trust Security: End-to-end encryption with granular OAuth2 and IAM policies.</w:t>
      </w:r>
    </w:p>
    <w:p>
      <w:pPr>
        <w:jc w:val="left"/>
        <w:ind w:left="540" w:hanging="280"/>
        <w:spacing w:before="96" w:after="120" w:line="276" w:lineRule="auto"/>
      </w:pPr>
      <w:r>
        <w:rPr>
          <w:sz w:val="20"/>
          <w:szCs w:val="20"/>
        </w:rPr>
        <w:t xml:space="preserve">• Automated CI/CD: Instant zero-downtime canary deployments via GitHub Actions.</w:t>
      </w:r>
    </w:p>
    <w:p>
      <w:pPr>
        <w:pStyle w:val="Heading2"/>
        <w:keepNext/>
        <w:jc w:val="left"/>
        <w:ind w:left="540" w:hanging="280"/>
        <w:spacing w:before="320" w:after="120" w:line="276" w:lineRule="auto"/>
      </w:pPr>
      <w:r>
        <w:rPr>
          <w:sz w:val="28"/>
          <w:szCs w:val="28"/>
        </w:rPr>
        <w:t xml:space="preserve">2. COST ESTIMATION &amp; TIMELINE</w:t>
      </w:r>
    </w:p>
    <w:p>
      <w:pPr>
        <w:jc w:val="left"/>
        <w:spacing w:before="224" w:after="120" w:line="276" w:lineRule="auto"/>
      </w:pPr>
      <w:r>
        <w:rPr>
          <w:sz w:val="20"/>
          <w:szCs w:val="20"/>
        </w:rPr>
        <w:t xml:space="preserve">Phase 1: Discovery &amp; Audit (Weeks 1-3) - Complete workload classification.</w:t>
      </w:r>
      <w:r>
        <w:rPr>
          <w:sz w:val="20"/>
          <w:szCs w:val="20"/>
        </w:rPr>
        <w:t xml:space="preserve"> Phase 2: Core Migration (Weeks 4-10) - Cloud database &amp; backend migration.</w:t>
      </w:r>
      <w:r>
        <w:rPr>
          <w:sz w:val="20"/>
          <w:szCs w:val="20"/>
        </w:rPr>
        <w:t xml:space="preserve"> Phase 3: Optimization &amp; Go-Live (Weeks 11-12) - Traffic cutover and monitoring.</w:t>
      </w:r>
    </w:p>
    <w:sectPr>
      <w:pgSz w:w="12240" w:h="15840"/>
      <w:pgMar w:top="1440" w:bottom="1440" w:left="1440" w:righ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en-US"/>
      </w:rPr>
    </w:rPrDefault>
    <w:pPrDefault>
      <w:pPr>
        <w:spacing w:after="120" w:line="276" w:lineRule="auto"/>
      </w:pPr>
    </w:pPrDefault>
  </w:docDefaults>
  <w:style w:type="paragraph" w:styleId="Title">
    <w:name w:val="Title"/>
    <w:rPr>
      <w:b/>
      <w:sz w:val="44"/>
      <w:szCs w:val="44"/>
      <w:color w:val="0F172A"/>
    </w:rPr>
  </w:style>
  <w:style w:type="paragraph" w:styleId="Heading1">
    <w:name w:val="heading 1"/>
    <w:rPr>
      <w:b/>
      <w:sz w:val="32"/>
      <w:szCs w:val="32"/>
      <w:color w:val="0F172A"/>
    </w:rPr>
  </w:style>
  <w:style w:type="paragraph" w:styleId="Heading2">
    <w:name w:val="heading 2"/>
    <w:rPr>
      <w:b/>
      <w:sz w:val="26"/>
      <w:szCs w:val="26"/>
      <w:color w:val="1E293B"/>
    </w:rPr>
  </w:style>
  <w:style w:type="paragraph" w:styleId="Heading3">
    <w:name w:val="heading 3"/>
    <w:rPr>
      <w:b/>
      <w:sz w:val="22"/>
      <w:szCs w:val="22"/>
      <w:color w:val="334155"/>
    </w:rPr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