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100"/>
        <w:jc w:val="center"/>
      </w:pPr>
      <w:r>
        <w:rPr>
          <w:b/>
          <w:bCs/>
          <w:color w:val="1F3864"/>
          <w:sz w:val="40"/>
          <w:szCs w:val="40"/>
        </w:rPr>
        <w:t xml:space="preserve">PortAgent / PortSLM</w:t>
      </w:r>
    </w:p>
    <w:p>
      <w:pPr>
        <w:spacing w:after="60"/>
        <w:jc w:val="center"/>
      </w:pPr>
      <w:r>
        <w:rPr>
          <w:b/>
          <w:bCs/>
          <w:color w:val="2E75B6"/>
          <w:sz w:val="30"/>
          <w:szCs w:val="30"/>
        </w:rPr>
        <w:t xml:space="preserve">BAPLIE 통합 데이터 파이프라인 구축 설계서</w:t>
      </w:r>
    </w:p>
    <w:p>
      <w:pPr>
        <w:spacing w:after="40"/>
        <w:jc w:val="center"/>
      </w:pPr>
      <w:r>
        <w:rPr>
          <w:color w:val="555555"/>
          <w:sz w:val="21"/>
          <w:szCs w:val="21"/>
        </w:rPr>
        <w:t xml:space="preserve">텍스트 추출 → 청킹 → SFT → Vector DB 임베딩 → GraphRAG 지식그래프</w:t>
      </w:r>
    </w:p>
    <w:p>
      <w:pPr>
        <w:spacing w:after="560"/>
        <w:jc w:val="center"/>
      </w:pPr>
      <w:r>
        <w:rPr>
          <w:color w:val="888888"/>
          <w:sz w:val="18"/>
          <w:szCs w:val="18"/>
        </w:rPr>
        <w:t xml:space="preserve">원문: SMDG BAPLIE 3.1.1 (UN/EDIFACT D.13B) Implementation Guide  |  2026-06</w:t>
      </w:r>
    </w:p>
    <w:p>
      <w:pPr>
        <w:pBdr>
          <w:bottom w:val="single" w:color="2E75B6" w:sz="6" w:space="1"/>
        </w:pBdr>
      </w:pP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문서 구조 개요</w:t>
      </w:r>
    </w:p>
    <w:p>
      <w:pPr>
        <w:spacing w:after="120"/>
      </w:pPr>
      <w:r>
        <w:t xml:space="preserve">본 설계서는 SMDG BAPLIE 3.1.1 구현 가이드(143p)를 PortSLM 구축 파이프라인 5단계로 통합 변환한 결과와 방법을 기술한다. BAPLIE는 프로젝트의 9종 구조화 데이터 중 하나로, 베이플랜·적재(stowage) 메시지의 국제 표준이며, 슬롯 좌표·컨테이너 제원·위험물·리퍼 정보를 담아 RL 적재계획 및 LPG 제약검증의 1차 입력이 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60"/>
        <w:gridCol w:w="400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산출물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핵심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텍스트 추출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portslm_baplie_fulltext.txt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pdftotext -layout, 헤더/푸터 정제 (약 20만 자)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② 청킹 설계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portslm_baplie_rag_index.jsonl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세그먼트 명세 단위 구조 인식 청킹 (183 청크)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③ SFT 데이터셋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portslm_baplie_sft.jsonl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세그먼트 인용 기반 Q&amp;A (10 시드)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④ 임베딩 스키마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portslm_baplie_embeddings.npy + index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Vector DB 적재용 id/values/metadata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⑤ GraphRAG 그래프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portslm_baplie_graphrag_schema.json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온톨로지+인스턴스 LPG, text2Cypher</w:t>
            </w:r>
          </w:p>
        </w:tc>
      </w:tr>
    </w:tbl>
    <w:p>
      <w:pPr>
        <w:pStyle w:val="Heading1"/>
      </w:pPr>
      <w:r>
        <w:t xml:space="preserve">1. 텍스트 추출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원문은 텍스트 레이어를 가진 PDF(스캔본 아님)이므로 pdftotext -layout 로 공간 배치를 보존하며 추출.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반복 헤더/푸터('BAPLIE', 'Version: 3.1.1', 'Date:', 'page N')를 정규식으로 제거 → 노이즈 청크 방지.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EDIFACT 예제 문자열(LOC+147+..., MEA+AAE+...)은 보존 — SFT/RAG의 핵심 근거이자 파서 검증용.</w:t>
      </w:r>
    </w:p>
    <w:p>
      <w:pPr>
        <w:pStyle w:val="Heading1"/>
      </w:pPr>
      <w:r>
        <w:t xml:space="preserve">2. 청킹 설계</w:t>
      </w:r>
    </w:p>
    <w:p>
      <w:pPr>
        <w:spacing w:after="120"/>
      </w:pPr>
      <w:r>
        <w:t xml:space="preserve">일반 산문 문서와 달리 BAPLIE MIG는 세그먼트 명세가 반복되는 준구조(semi-structured) 문서다. 따라서 고정 길이 슬라이딩이 아닌 세그먼트 경계 기반 구조 인식 청킹을 적용했다.</w:t>
      </w:r>
    </w:p>
    <w:p>
      <w:pPr>
        <w:pStyle w:val="Heading2"/>
      </w:pPr>
      <w:r>
        <w:t xml:space="preserve">2.1 청킹 규칙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'Segment: XXX' 트리거를 경계로 각 세그먼트 명세를 하나의 청크로 분리 (43개 세그먼트 블록).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각 청크에 segment(코드)·segment_desc·unit_type(segment_spec/narrative) 메타데이터 부여 → 검색 시 세그먼트 필터링 가능.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1,400자 초과 블록은 1,200자로 재분할, 120자 미만 잔여물은 필터링 → 최종 183 청크.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서론·일반·표기법 등 앞부분 산문은 별도 narrative 청크로 처리 (1문단 누적 1,200자).</w:t>
      </w:r>
    </w:p>
    <w:p>
      <w:pPr>
        <w:pStyle w:val="Heading2"/>
      </w:pPr>
      <w:r>
        <w:t xml:space="preserve">2.2 청크 레코드 형식</w:t>
      </w:r>
    </w:p>
    <w:p>
      <w:pPr>
        <w:shd w:fill="FBEEDB" w:val="clear"/>
        <w:spacing w:after="80"/>
      </w:pPr>
      <w:r>
        <w:rPr>
          <w:rFonts w:ascii="Consolas" w:cs="Consolas" w:eastAsia="Consolas" w:hAnsi="Consolas"/>
          <w:sz w:val="16"/>
          <w:szCs w:val="16"/>
        </w:rPr>
        <w:t xml:space="preserve">{"chunk_id","doc_type":"BAPLIE_MIG","unit_type","segment","segment_desc","text","char_len"}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핵심 세그먼트 커버리지: LOC(적재위치) 8, EQD(컨테이너) 5, MEA(중량) 5, DGS(위험물) 5, TMP(리퍼) 2, DIM(OOG) 2, TDT(운송) 9, NAD(당사자) 12 등.</w:t>
      </w:r>
    </w:p>
    <w:p>
      <w:pPr>
        <w:pStyle w:val="Heading1"/>
      </w:pPr>
      <w:r>
        <w:t xml:space="preserve">3. JSONL SFT 데이터셋</w:t>
      </w:r>
    </w:p>
    <w:p>
      <w:pPr>
        <w:spacing w:after="120"/>
      </w:pPr>
      <w:r>
        <w:t xml:space="preserve">모든 답변을 실제 세그먼트/세그먼트그룹 인용에 근거시켜 환각을 차단했다(자유생성 금지). messages 역할 구조 + meta.segment_ref.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060"/>
        <w:gridCol w:w="340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segment_def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LOC/EQD/MEA/TMP/DGS 정의·포맷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각 세그먼트 position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interchange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UNB/UNH/UNT/UNZ 관계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Interchange 구조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message_type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Draft/Final, Full/Partial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BGM, §5.1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oog / stacking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OOG 치수(DIM), 최대적재중량(MEA)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§5.4, §5.4.10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location_func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 자격코드 5/61/11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 position 00170</w:t>
            </w:r>
          </w:p>
        </w:tc>
      </w:tr>
    </w:tbl>
    <w:p>
      <w:pPr>
        <w:spacing w:after="120"/>
      </w:pPr>
      <w:r>
        <w:rPr>
          <w:b/>
          <w:bCs/>
        </w:rPr>
        <w:t xml:space="preserve">SFT 레코드 예시:</w:t>
      </w:r>
    </w:p>
    <w:p>
      <w:pPr>
        <w:shd w:fill="FBEEDB" w:val="clear"/>
        <w:spacing w:after="80"/>
      </w:pPr>
      <w:r>
        <w:rPr>
          <w:rFonts w:ascii="Consolas" w:cs="Consolas" w:eastAsia="Consolas" w:hAnsi="Consolas"/>
          <w:sz w:val="16"/>
          <w:szCs w:val="16"/>
        </w:rPr>
        <w:t xml:space="preserve">{"messages":[{"role":"system",...},{"role":"user","content":"How is a stowage location encoded?"},{"role":"assistant","content":"...LOC function 147, ISO 9711, 7-digit BBBRRTT... (Source: LOC position 00210)"}],"meta":{"task":"segment_def","segment_ref":"LOC/SG6"}}</w:t>
      </w:r>
    </w:p>
    <w:p>
      <w:pPr>
        <w:pStyle w:val="Heading1"/>
      </w:pPr>
      <w:r>
        <w:t xml:space="preserve">4. Vector DB 적재용 임베딩 스키마</w:t>
      </w:r>
    </w:p>
    <w:p>
      <w:pPr>
        <w:spacing w:after="120"/>
      </w:pPr>
      <w:r>
        <w:t xml:space="preserve">Pinecone/Weaviate/Qdrant 등 어디에나 적재 가능한 범용 스키마로 설계했다. 임베딩 벡터는 .npy(행=values_ref)에 분리 저장하고, 인덱스 JSONL은 id·values_ref·metadata·text를 담는다.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청크 고유 ID (bap_0000 …)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values_ref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embeddings.npy 행 인덱스 → 384차원(현재 182) L2정규화 벡터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metadata.segment / segment_desc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세그먼트 필터링용 (예: segment='DGS')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metadata.doc_type / unit_type / source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BAPLIE_MIG / segment_spec|narrative / SMDG 출처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원문 청크 (재랭킹·인용 표시용)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임베딩 모델 주의: 본 작업은 환경 네트워크 제약으로 TF-IDF+SVD(LSA)를 사용했다. 운영 환경(GPU/오프라인 캐시)에서는 동일 인터페이스로 BGE-M3 또는 multilingual-e5 교체를 권장한다(한국어 질의 품질 향상). 검색 검증에서 '중량'→MEA, '적재위치'→LOC, '위험물'→DGS, '리퍼'→TMP가 정확히 반환됨을 확인했다.</w:t>
      </w:r>
    </w:p>
    <w:p>
      <w:pPr>
        <w:pStyle w:val="Heading1"/>
      </w:pPr>
      <w:r>
        <w:t xml:space="preserve">5. GraphRAG 지식그래프 설계</w:t>
      </w:r>
    </w:p>
    <w:p>
      <w:pPr>
        <w:spacing w:after="120"/>
      </w:pPr>
      <w:r>
        <w:t xml:space="preserve">BAPLIE를 두 계층의 LPG로 모델링했다: (A) 온톨로지 계층 — 메시지 명세 자체(Segment/SegmentGroup/DataElement/CodeValue), (B) 인스턴스 계층 — 실제 BAPLIE 파싱 결과(Container/Slot/POD/DG/Reefer)로 프로젝트 기존 STACKED_ON/ASSIGNED_TO/DecisionLog 스키마와 정합.</w:t>
      </w:r>
    </w:p>
    <w:p>
      <w:pPr>
        <w:pStyle w:val="Heading2"/>
      </w:pPr>
      <w:r>
        <w:t xml:space="preserve">5.1 핵심 노드·관계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노드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주요 속성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Container (EQD)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equipment_id, iso_size_type, gross_weight_kg, max_stack_weight_t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Slot (LOC+147)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bbrrtt(BBBRRTT 7자리), bay, row, tier, deck/hold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POD (LOC+11)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unlocode, name, seq(기항 순서)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DangerousGoods (DGS)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imdg_class, un_number, flashpoint_cel, ems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Reefer (TMP/RNG)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temp_setpoint_cel, temp_min, temp_max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관계: ASSIGNED_TO(Container→Slot), STACKED_ON(Container→Container), DISCHARGED_AT(Container→POD), CARRIES_DG, HAS_REEFER, VIOLATES(Slot→Constraint).</w:t>
      </w:r>
    </w:p>
    <w:p>
      <w:pPr>
        <w:pStyle w:val="Heading2"/>
      </w:pPr>
      <w:r>
        <w:t xml:space="preserve">5.2 세그먼트 → 그래프 매핑 (파서 규칙)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EQD → Container 노드 (equipment_id=C237.8260, iso_size_type=C224.8155)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LOC+147 → Slot 노드 (bbrrtt = C517.3225, 7자리 BBBRRTT)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MEA(AAE/VGM) → Container.gross_weight_kg; MEA(stack,&lt;192t) → max_stack_weight_t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DGS → DangerousGoods + CARRIES_DG; TMP/RNG → Reefer + HAS_REEFER; LOC+11 → POD + DISCHARGED_AT</w:t>
      </w:r>
    </w:p>
    <w:p>
      <w:pPr>
        <w:pStyle w:val="Heading2"/>
      </w:pPr>
      <w:r>
        <w:t xml:space="preserve">5.3 text2Cypher 제약검증 예시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중량 초과 적재(Heavy-on-Light) 검증:</w:t>
      </w:r>
    </w:p>
    <w:p>
      <w:pPr>
        <w:shd w:fill="FBEEDB" w:val="clear"/>
        <w:spacing w:after="80"/>
      </w:pPr>
      <w:r>
        <w:rPr>
          <w:rFonts w:ascii="Consolas" w:cs="Consolas" w:eastAsia="Consolas" w:hAnsi="Consolas"/>
          <w:sz w:val="16"/>
          <w:szCs w:val="16"/>
        </w:rPr>
        <w:t xml:space="preserve">MATCH (a:Container)-[:STACKED_ON]-&gt;(b:Container)
WHERE a.gross_weight_kg/1000.0 &gt; b.max_stack_weight_t
RETURN a.equipment_id AS upper, b.equipment_id AS lower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POD 역순 적재(나중 양하항이 아래) 검증:</w:t>
      </w:r>
    </w:p>
    <w:p>
      <w:pPr>
        <w:shd w:fill="FBEEDB" w:val="clear"/>
        <w:spacing w:after="80"/>
      </w:pPr>
      <w:r>
        <w:rPr>
          <w:rFonts w:ascii="Consolas" w:cs="Consolas" w:eastAsia="Consolas" w:hAnsi="Consolas"/>
          <w:sz w:val="16"/>
          <w:szCs w:val="16"/>
        </w:rPr>
        <w:t xml:space="preserve">MATCH (a)-[:STACKED_ON]-&gt;(b),(a)-[:DISCHARGED_AT]-&gt;(pa:POD),(b)-[:DISCHARGED_AT]-&gt;(pb:POD)
WHERE pa.seq &gt; pb.seq RETURN a.equipment_id, pa.name, b.equipment_id, pb.name</w:t>
      </w:r>
    </w:p>
    <w:p>
      <w:pPr>
        <w:pStyle w:val="Heading1"/>
      </w:pPr>
      <w:r>
        <w:t xml:space="preserve">6. 산출물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260"/>
        <w:gridCol w:w="1800"/>
      </w:tblGrid>
      <w:tr>
        <w:trPr>
          <w:tblHeader/>
        </w:trP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규모</w:t>
            </w:r>
          </w:p>
        </w:tc>
      </w:tr>
      <w:t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portslm_baplie_fulltext.txt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정제된 BAPLIE 전문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약 20만 자</w:t>
            </w:r>
          </w:p>
        </w:tc>
      </w:tr>
      <w:t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portslm_baplie_rag_index.jsonl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청킹+메타데이터+임베딩 참조 인덱스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183 청크</w:t>
            </w:r>
          </w:p>
        </w:tc>
      </w:tr>
      <w:t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portslm_baplie_embeddings.npy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정규화 임베딩 행렬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183 × 182</w:t>
            </w:r>
          </w:p>
        </w:tc>
      </w:tr>
      <w:t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portslm_baplie_sft.jsonl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세그먼트 인용 기반 SFT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 시드</w:t>
            </w:r>
          </w:p>
        </w:tc>
      </w:tr>
      <w:t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portslm_baplie_graphrag_schema.json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LPG 온톨로지+인스턴스 스키마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노드11/관계11/매핑7/Cypher3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연계: 본 BAPLIE 그래프는 ISPS(보안 규정)·SOLAS 제약 노드와 함께 LPG에 통합되어, RL이 산출한 슬롯 배치를 Constraint Validator(3번 에이전트)가 text2Cypher로 검증하고 SLM이 설명(4번 에이전트)하는 결정적 오케스트레이션에 투입된다.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280"/>
      <w:outlineLvl w:val="0"/>
    </w:pPr>
    <w:rPr>
      <w:rFonts w:ascii="맑은 고딕" w:cs="맑은 고딕" w:eastAsia="맑은 고딕" w:hAnsi="맑은 고딕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맑은 고딕" w:cs="맑은 고딕" w:eastAsia="맑은 고딕" w:hAnsi="맑은 고딕"/>
      <w:b/>
      <w:bCs/>
      <w:color w:val="1F7A6D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2026-06-13T06:09:58.819Z</dcterms:created>
  <dcterms:modified xsi:type="dcterms:W3CDTF">2026-06-13T06:09:58.829Z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