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4"/>
        </w:pBdr>
        <w:spacing w:after="80" w:before="200"/>
        <w:jc w:val="left"/>
      </w:pPr>
      <w:r>
        <w:rPr>
          <w:b/>
          <w:bCs/>
          <w:color w:val="1F3864"/>
          <w:sz w:val="36"/>
          <w:szCs w:val="36"/>
        </w:rPr>
        <w:t xml:space="preserve">MOVINS 기반 항만 특화 SLM 파인튜닝 데이터셋 설계서</w:t>
      </w:r>
    </w:p>
    <w:p>
      <w:pPr>
        <w:spacing w:after="200"/>
      </w:pPr>
      <w:r>
        <w:rPr>
          <w:color w:val="595959"/>
          <w:sz w:val="22"/>
          <w:szCs w:val="22"/>
        </w:rPr>
        <w:t xml:space="preserve">UN/EDIFACT MOVINS (D.95B, SMDG User Manual v2.1.2) 적치 지시 메시지 활용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PortAgent 프로젝트 · 4개 SFT 데이터셋 유형</w:t>
      </w:r>
    </w:p>
    <w:p>
      <w:pPr>
        <w:pStyle w:val="Heading1"/>
      </w:pPr>
      <w:r>
        <w:t xml:space="preserve">1. 개요</w:t>
      </w:r>
    </w:p>
    <w:p>
      <w:pPr>
        <w:spacing w:after="120"/>
      </w:pPr>
      <w:r>
        <w:t xml:space="preserve">본 문서는 SMDG MOVINS User Manual(v2.1.2, D.95B)을 항만 특화 SLM 파인튜닝과 RAG Explanation Agent 학습에 활용하기 위한 4개 SFT 데이터셋 유형을 정의한다. MOVINS는 규칙이 명시적이고 결정론적이어서, 입력-출력 쌍의 정답을 기계적으로 검증할 수 있고 SOP 인용 기반 grounding을 통해 hallucination을 최소화할 수 있다는 점이 핵심 강점이다.</w:t>
      </w:r>
    </w:p>
    <w:p>
      <w:pPr>
        <w:spacing w:after="120"/>
      </w:pPr>
      <w:r>
        <w:t xml:space="preserve">4개 유형은 PortAgent의 에이전트 아키텍처와 직접 대응된다. 특히 유형 2(MOVINS→NL 설명)는 ④ GraphRAG Explanation 에이전트, 유형 4(위반 진단)는 ③ Constraint Validator 에이전트의 학습 데이터로 설계되었다.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76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데이터셋 파일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방향/목적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대응 에이전트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① NL→MOVINS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movins_01_nl2movins_sft.jsonl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자연어 지시 → EDIFACT 전문 생성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Planning 보조 / 검증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② MOVINS→NL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movins_02_movins2nl_sft.jsonl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전문 → 자연어 설명 (역방향)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④ GraphRAG Explanation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③ 세그먼트 Q&amp;A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movins_03_segment_qa_sft.jsonl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규격·코드 사전 Q&amp;A (인용 기반)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④ Explanation / RAG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④ 위반 진단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movins_04_violation_diagnosis_sft.jsonl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규칙 위반 탐지·교정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③ Constraint Validator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각 데이터셋은 messages 형식(system/user/assistant)의 JSONL이며, 유형별 10개 샘플을 시드로 제공한다. 모든 assistant 응답은 해당 세그먼트·규칙을 명시 인용하여 grounding을 강화했다.</w:t>
      </w:r>
    </w:p>
    <w:p>
      <w:pPr>
        <w:pStyle w:val="Heading1"/>
      </w:pPr>
      <w:r>
        <w:t xml:space="preserve">2. 유형 ① NL → MOVINS 전문 생성</w:t>
      </w:r>
    </w:p>
    <w:p>
      <w:pPr>
        <w:pStyle w:val="Heading2"/>
      </w:pPr>
      <w:r>
        <w:t xml:space="preserve">2.1 목적과 활용</w:t>
      </w:r>
    </w:p>
    <w:p>
      <w:pPr>
        <w:spacing w:after="120"/>
      </w:pPr>
      <w:r>
        <w:t xml:space="preserve">자연어 적치 지시를 입력으로, UN/EDIFACT MOVINS 세그먼트열을 출력으로 하는 instruction 쌍이다. 챕터 6의 9개 실전 예제가 정답 출력의 시드가 된다. 이 방향은 SLM의 설명 전용 역할 경계를 넘어서므로, 자율 의사결정이 아닌 생성 보조·출력 정합성 검증 용도로 한정하는 것이 안전하다.</w:t>
      </w:r>
    </w:p>
    <w:p>
      <w:pPr>
        <w:pStyle w:val="Heading2"/>
      </w:pPr>
      <w:r>
        <w:t xml:space="preserve">2.2 샘플 구조</w:t>
      </w:r>
    </w:p>
    <w:p>
      <w:pPr>
        <w:spacing w:after="120"/>
      </w:pPr>
      <w:r>
        <w:rPr>
          <w:b/>
          <w:bCs/>
        </w:rPr>
        <w:t xml:space="preserve">입력(user): 자연어 지시 (베이/로우/티어, 목적항, 컨테이너 타입, 위험물 여부 등)</w:t>
      </w:r>
    </w:p>
    <w:p>
      <w:pPr>
        <w:spacing w:after="120"/>
      </w:pPr>
      <w:r>
        <w:rPr>
          <w:b/>
          <w:bCs/>
        </w:rPr>
        <w:t xml:space="preserve">출력(assistant): EDIFACT 세그먼트열 + 간단 해설</w:t>
      </w:r>
    </w:p>
    <w:p>
      <w:pPr>
        <w:pBdr>
          <w:top w:val="single" w:color="E0E0E0" w:sz="2" w:space="4"/>
          <w:left w:val="single" w:color="2E75B6" w:sz="18" w:space="8"/>
          <w:bottom w:val="single" w:color="E0E0E0" w:sz="2" w:space="4"/>
        </w:pBdr>
        <w:shd w:fill="F2F4F7" w:val="clear"/>
        <w:spacing w:after="120" w:before="80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// user</w:t>
        <w:br/>
        <w:t xml:space="preserve">Bay 21 Hold에 도쿄행 20피트 풀 20개 적재,</w:t>
        <w:br/>
        <w:t xml:space="preserve">셀 21-04-02/04는 IMO 6.1 위험물(예약 DUB215)</w:t>
        <w:br/>
        <w:t xml:space="preserve"/>
        <w:br/>
        <w:t xml:space="preserve">// assistant</w:t>
        <w:br/>
        <w:t xml:space="preserve">HAN+LOA'</w:t>
        <w:br/>
        <w:t xml:space="preserve">LOC+147+0210402::5'      ← 셀 0210402 (Bay021/Row04/Tier02)</w:t>
        <w:br/>
        <w:t xml:space="preserve">LOC+11+JPTYO'            ← 목적항 도쿄</w:t>
        <w:br/>
        <w:t xml:space="preserve">RFF+BN:DUB215'           ← 예약번호</w:t>
        <w:br/>
        <w:t xml:space="preserve">EQD+CN++2200+++5'        ← 20ft Dry box, Full</w:t>
        <w:br/>
        <w:t xml:space="preserve">DGS+IMD+6.1'             ← IMDG 클래스 6.1</w:t>
      </w:r>
    </w:p>
    <w:p>
      <w:pPr>
        <w:pStyle w:val="Heading2"/>
      </w:pPr>
      <w:r>
        <w:t xml:space="preserve">2.3 데이터 증강 전략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파라미터 치환</w:t>
      </w:r>
      <w:r>
        <w:t xml:space="preserve">: 베이/로우/티어 번호, POD 포트(Busan·Shanghai·Ningbo·Singapore·Colombo·Rotterdam), 컨테이너 타입, 위험물 클래스를 변수화하여 한 예제에서 수십~수백 변형 생성.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자동 검증</w:t>
      </w:r>
      <w:r>
        <w:t xml:space="preserve">: 셀 포지션 BBBRRTT는 규칙이 결정론적이므로 합성 데이터의 정답을 자동 검증 가능.</w:t>
      </w:r>
    </w:p>
    <w:p>
      <w:pPr>
        <w:pStyle w:val="Heading1"/>
      </w:pPr>
      <w:r>
        <w:t xml:space="preserve">3. 유형 ② MOVINS → NL 설명 (핵심)</w:t>
      </w:r>
    </w:p>
    <w:p>
      <w:pPr>
        <w:pStyle w:val="Heading2"/>
      </w:pPr>
      <w:r>
        <w:t xml:space="preserve">3.1 목적과 활용</w:t>
      </w:r>
    </w:p>
    <w:p>
      <w:pPr>
        <w:spacing w:after="120"/>
      </w:pPr>
      <w:r>
        <w:t xml:space="preserve">전문 한 블록을 입력으로 '이 지시가 무엇을 의미하는가'를 세그먼트별로 자연어 설명하게 한다. PortAgent의 ④ GraphRAG Explanation 에이전트 역할과 정확히 일치하며, SLM의 설명 전용 역할 경계와도 부합한다. 적치 결정 근거의 자동 설명 생성으로 직접 연결되는 가장 중요한 유형이다.</w:t>
      </w:r>
    </w:p>
    <w:p>
      <w:pPr>
        <w:pStyle w:val="Heading2"/>
      </w:pPr>
      <w:r>
        <w:t xml:space="preserve">3.2 커버리지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대상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포함 샘플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핸들링 지시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DIS·LOA·SHI·RES·COD·EXC 6종 해석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메시지 헤더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UNH/BGM/DTM 버전·기능 코드·일시 해석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Reefer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TMP/RNG 온도 고정·편차 규칙 해석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위험물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DGS+IMD 클래스 해석 + Full/Empty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각 응답은 세그먼트를 분해(LOC→셀, LOC+11→목적항, RFF→참조, EQD→장비, DGS→위험물)하고 마지막에 1줄 요약을 제공한다. 이 분해-요약 구조는 R1~R15 reward decomposition처럼 결정 근거를 항목별로 라벨링하는 패턴과 호환된다.</w:t>
      </w:r>
    </w:p>
    <w:p>
      <w:pPr>
        <w:pStyle w:val="Heading1"/>
      </w:pPr>
      <w:r>
        <w:t xml:space="preserve">4. 유형 ③ 세그먼트·코드 사전 Q&amp;A</w:t>
      </w:r>
    </w:p>
    <w:p>
      <w:pPr>
        <w:pStyle w:val="Heading2"/>
      </w:pPr>
      <w:r>
        <w:t xml:space="preserve">4.1 목적과 활용</w:t>
      </w:r>
    </w:p>
    <w:p>
      <w:pPr>
        <w:spacing w:after="120"/>
      </w:pPr>
      <w:r>
        <w:t xml:space="preserve">챕터 9 세그먼트 디렉터리와 본문 정의를 Q&amp;A로 변환한다. 이 유형이 SOP 인용 기반 hallucination 감소 패턴(portslm_stowage_sft)과 가장 잘 맞으며, RAG 코퍼스의 grounding 소스로도 직접 활용된다. 모든 답변은 출처 세그먼트를 명시한다.</w:t>
      </w:r>
    </w:p>
    <w:p>
      <w:pPr>
        <w:pStyle w:val="Heading2"/>
      </w:pPr>
      <w:r>
        <w:t xml:space="preserve">4.2 커버리지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 코드 8종(DIS/SHI/RES/LOA/COD/EXC/BAL/VOI)의 의미와 적용 시점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셀 포지션 ISO 포맷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BBBRRTT</w:t>
      </w:r>
      <w:r>
        <w:t xml:space="preserve"> 구조 (Bay 3 + Row 2 + Tier 2, 앞자리 0 채움)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 자격코드(147=Stowage Cell, 9=POL, 11=POD, 13=환적, 152=다음 양하항)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DGS 세그먼트의 IMD 자격, IMDG 클래스·UNDG·인화점·포장등급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TMP/RNG Reefer 온도 규칙 (Reefer List 기준, 편차 불허)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EQD 장비 자격(CN/BB/TE), ISO 6346 사이즈타입, Full/Empty 코드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RFF 자격(BN/ET/DSI/BST) 및 BGM 메시지 기능 코드, MEA 중량, 메시지 전체 구조</w:t>
      </w:r>
    </w:p>
    <w:p>
      <w:pPr>
        <w:pStyle w:val="Heading1"/>
      </w:pPr>
      <w:r>
        <w:t xml:space="preserve">5. 유형 ④ 위반 진단</w:t>
      </w:r>
    </w:p>
    <w:p>
      <w:pPr>
        <w:pStyle w:val="Heading2"/>
      </w:pPr>
      <w:r>
        <w:t xml:space="preserve">5.1 목적과 활용</w:t>
      </w:r>
    </w:p>
    <w:p>
      <w:pPr>
        <w:spacing w:after="120"/>
      </w:pPr>
      <w:r>
        <w:t xml:space="preserve">규격의 필수(M/R) 규칙을 의도적으로 위반한 전문을 만들고 '무엇이 잘못됐는가'를 라벨링한다. PortAgent의 ③ Constraint Validator 에이전트 학습 데이터이며, 정답이 규격에 명시되어 있어 violation log 형식과 직접 연결된다. 각 샘플은 (문제 식별 → 영향 → 수정 방법 → 규격 근거) 4단 구조로 구성된다.</w:t>
      </w:r>
    </w:p>
    <w:p>
      <w:pPr>
        <w:pStyle w:val="Heading2"/>
      </w:pPr>
      <w:r>
        <w:t xml:space="preserve">5.2 위반 유형 커버리지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위반 유형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근거 규칙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필수 LOC(POL/POD 최소 2개 항) 누락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 grp3 — Minimum 2 ports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RES/SHI에서 두 번째 RFF(DSI) 누락 시 동작 차이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RFF(2) grp3 — conditional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COD에서 컨테이너 번호 누락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Example #5 — number obliged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 높이 컨테이너 중복 셀 위치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 grp3 — M1, no duplicate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셀 포지션 BBBRRTT 자릿수 오류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 grp3 — leading zeroes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Reefer 온도 범위 무단 편차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RNG grp3 — no deviation allowed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브레이크벌크 리딩 셀 참조(RFF+ET) 누락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Guidelines 5.2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UNH Association Code(SMDG20) 누락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UNH — e0057 required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DGS 위험 코드(Hazard Code) 누락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DGS grp5 — e8351 (M)</w:t>
            </w:r>
          </w:p>
        </w:tc>
      </w:tr>
    </w:tbl>
    <w:p>
      <w:pPr>
        <w:pStyle w:val="Heading1"/>
      </w:pPr>
      <w:r>
        <w:t xml:space="preserve">6. PortAgent 4-Path 아키텍처 연계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SLM Fine-Tuning / Model Repository</w:t>
      </w:r>
      <w:r>
        <w:t xml:space="preserve">: 4개 JSONL을 SFT 데이터로 통합. 유형 2·3을 주축으로 설명 능력을, 유형 4로 검증 능력을 학습. LoRA/QLoRA + INT4 양자화로 edge 배포 대비.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GraphRAG</w:t>
      </w:r>
      <w:r>
        <w:t xml:space="preserve">: 유형 3 Q&amp;A와 세그먼트 디렉터리를 청크 인덱싱하여 Explanation 에이전트의 인용 소스로 사용. 유형 2 설명 패턴이 검색 결과를 자연어로 변환.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LPG (Knowledge Graph)</w:t>
      </w:r>
      <w:r>
        <w:t xml:space="preserve">: 셀-컨테이너 배정(STACKED_ON/ASSIGNED_TO), 제약 노드(IMO/SOLAS) 검증을 text2Cypher로 연결. MOVINS 세그먼트 정의가 필드 매핑 기준.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RDB</w:t>
      </w:r>
      <w:r>
        <w:t xml:space="preserve">: 유형 4 위반 진단이 violation log 스키마로 적재. 실 BAPLIE/Yard Inventory로 RL 확장 시 Reefer(TMP/RNG)·DG(DGS)·OOG(DIM) 세그먼트가 스키마 확장 근거.</w:t>
      </w:r>
    </w:p>
    <w:p>
      <w:pPr>
        <w:spacing w:after="120"/>
      </w:pPr>
      <w:r>
        <w:t xml:space="preserve"/>
      </w:r>
    </w:p>
    <w:p>
      <w:pPr>
        <w:pBdr>
          <w:top w:val="single" w:color="2E75B6" w:sz="4" w:space="6"/>
        </w:pBdr>
        <w:spacing w:before="200"/>
      </w:pPr>
      <w:r>
        <w:rPr>
          <w:i/>
          <w:iCs/>
          <w:color w:val="595959"/>
          <w:sz w:val="18"/>
          <w:szCs w:val="18"/>
        </w:rPr>
        <w:t xml:space="preserve">제공 파일: 본 설계서(.docx) + 4개 SFT 데이터셋(.jsonl, 각 10개 샘플). 증강 전 시드 데이터이며, 파라미터 치환으로 확장 가능.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PortAgent · MOVINS SFT 데이터셋 설계서   |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2026-06-13T02:02:31.338Z</dcterms:created>
  <dcterms:modified xsi:type="dcterms:W3CDTF">2026-06-13T02:02:31.338Z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