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jc w:val="center"/>
      </w:pPr>
      <w:r>
        <w:rPr>
          <w:b/>
          <w:bCs/>
          <w:color w:val="1F3864"/>
          <w:sz w:val="40"/>
          <w:szCs w:val="40"/>
        </w:rPr>
        <w:t xml:space="preserve">PortAgent / PortSLM</w:t>
      </w:r>
    </w:p>
    <w:p>
      <w:pPr>
        <w:spacing w:after="60"/>
        <w:jc w:val="center"/>
      </w:pPr>
      <w:r>
        <w:rPr>
          <w:b/>
          <w:bCs/>
          <w:color w:val="2E75B6"/>
          <w:sz w:val="30"/>
          <w:szCs w:val="30"/>
        </w:rPr>
        <w:t xml:space="preserve">MOVINS 통합 데이터 파이프라인 설계서</w:t>
      </w:r>
    </w:p>
    <w:p>
      <w:pPr>
        <w:spacing w:after="40"/>
        <w:jc w:val="center"/>
      </w:pPr>
      <w:r>
        <w:rPr>
          <w:color w:val="555555"/>
          <w:sz w:val="21"/>
          <w:szCs w:val="21"/>
        </w:rPr>
        <w:t xml:space="preserve">텍스트 추출 → 청킹 → SFT → Vector DB 임베딩 → GraphRAG 지식그래프</w:t>
      </w:r>
    </w:p>
    <w:p>
      <w:pPr>
        <w:spacing w:after="560"/>
        <w:jc w:val="center"/>
      </w:pPr>
      <w:r>
        <w:rPr>
          <w:color w:val="888888"/>
          <w:sz w:val="18"/>
          <w:szCs w:val="18"/>
        </w:rPr>
        <w:t xml:space="preserve">원문: SMDG MOVINS 2.1.2 (UN/EDIFACT D.95B) Stowage Instruction Message  |  2026-06</w:t>
      </w:r>
    </w:p>
    <w:p>
      <w:pPr>
        <w:pBdr>
          <w:bottom w:val="single" w:color="2E75B6" w:sz="6" w:space="1"/>
        </w:pBdr>
      </w:pPr>
    </w:p>
    <w:p>
      <w:r>
        <w:br w:type="page"/>
      </w:r>
    </w:p>
    <w:p>
      <w:pPr>
        <w:pStyle w:val="Heading1"/>
      </w:pPr>
      <w: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문서 구조 개요</w:t>
      </w:r>
    </w:p>
    <w:p>
      <w:pPr>
        <w:spacing w:after="120"/>
      </w:pPr>
      <w:r>
        <w:t xml:space="preserve">본 설계서는 SMDG MOVINS 2.1.2 적재지시 메시지 가이드(84p)를 PortSLM 구축 파이프라인 5단계로 통합 변환한 결과와 방법을 기술한다. MOVINS는 BAPLIE의 자매 표준으로, BAPLIE가 정적 적재 상태(stowage state)를 표현하는 반면 MOVINS는 적양하·이동 동작(handling action: 양하/적재/시프트/리스토우 등)을 지시한다. 따라서 MOVINS의 핸들링 코드는 프로젝트 RL 적재계획의 액션 공간과 직접 대응되며, 이 매핑이 본 설계서의 핵심 확장점이다.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단계</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산출물</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핵심</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① 텍스트 추출</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portslm_movins_fulltext.txt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pdftotext -layout, 헤더/푸터 정제 (약 9만 자)</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② 청킹 설계</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portslm_movins_rag_index.jsonl</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세그먼트+챕터 인식 청킹 (83 청크)</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③ SFT 데이터셋</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portslm_movins_sft.jsonl</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세그먼트/핸들링코드 인용 Q&amp;A (10)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④ 임베딩 스키마</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portslm_movins_embeddings.npy + index</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Vector DB id/values/metadata (BAPLIE와 통일)</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⑤ GraphRAG 그래프</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portslm_movins_graphrag_schema.json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동작 그래프 + RL 액션 매핑 + text2Cypher</w:t>
            </w:r>
          </w:p>
        </w:tc>
      </w:tr>
    </w:tbl>
    <w:p>
      <w:pPr>
        <w:pStyle w:val="Heading1"/>
      </w:pPr>
      <w:r>
        <w:t xml:space="preserve">1. 텍스트 추출</w:t>
      </w:r>
    </w:p>
    <w:p>
      <w:pPr>
        <w:pStyle w:val="ListParagraph"/>
        <w:numPr>
          <w:ilvl w:val="0"/>
          <w:numId w:val="2"/>
        </w:numPr>
        <w:spacing w:after="60"/>
      </w:pPr>
      <w:r>
        <w:t xml:space="preserve">84p 텍스트 PDF를 pdftotext -layout로 추출 (EDIFACT 예제의 정렬 보존).</w:t>
      </w:r>
    </w:p>
    <w:p>
      <w:pPr>
        <w:pStyle w:val="ListParagraph"/>
        <w:numPr>
          <w:ilvl w:val="0"/>
          <w:numId w:val="2"/>
        </w:numPr>
        <w:spacing w:after="60"/>
      </w:pPr>
      <w:r>
        <w:t xml:space="preserve">반복 헤더/푸터(기관명, ©JMDT, 빈 페이지 표시, Page 번호) 정규식 제거.</w:t>
      </w:r>
    </w:p>
    <w:p>
      <w:pPr>
        <w:pStyle w:val="ListParagraph"/>
        <w:numPr>
          <w:ilvl w:val="0"/>
          <w:numId w:val="2"/>
        </w:numPr>
        <w:spacing w:after="60"/>
      </w:pPr>
      <w:r>
        <w:t xml:space="preserve">EDIFACT 예제(HAN+LOA', LOC+147+0210302::5' 등)는 보존 — SFT 인용·그래프 파서·RL 액션 재구성의 핵심 근거.</w:t>
      </w:r>
    </w:p>
    <w:p>
      <w:pPr>
        <w:pStyle w:val="Heading1"/>
      </w:pPr>
      <w:r>
        <w:t xml:space="preserve">2. 청킹 설계</w:t>
      </w:r>
    </w:p>
    <w:p>
      <w:pPr>
        <w:spacing w:after="120"/>
      </w:pPr>
      <w:r>
        <w:t xml:space="preserve">MOVINS도 BAPLIE처럼 세그먼트 명세가 반복되는 준구조 문서다. 'XXX (M1)/(C9)' 사용지표 패턴을 세그먼트 경계로 인식하고, 추가로 챕터(0~10) 메타데이터를 부여하여 명세/예제/EDI Understanding을 구분했다.</w:t>
      </w:r>
    </w:p>
    <w:p>
      <w:pPr>
        <w:pStyle w:val="Heading2"/>
      </w:pPr>
      <w:r>
        <w:t xml:space="preserve">2.1 청킹 규칙</w:t>
      </w:r>
    </w:p>
    <w:p>
      <w:pPr>
        <w:pStyle w:val="ListParagraph"/>
        <w:numPr>
          <w:ilvl w:val="0"/>
          <w:numId w:val="3"/>
        </w:numPr>
        <w:spacing w:after="60"/>
      </w:pPr>
      <w:r>
        <w:t xml:space="preserve">사용지표 패턴(M/R/D/A/O/X + 반복수)으로 세그먼트 명세 블록 분리.</w:t>
      </w:r>
    </w:p>
    <w:p>
      <w:pPr>
        <w:pStyle w:val="ListParagraph"/>
        <w:numPr>
          <w:ilvl w:val="0"/>
          <w:numId w:val="3"/>
        </w:numPr>
        <w:spacing w:after="60"/>
      </w:pPr>
      <w:r>
        <w:t xml:space="preserve">각 청크에 segment·segment_desc·chapter·chapter_title 메타데이터 부여.</w:t>
      </w:r>
    </w:p>
    <w:p>
      <w:pPr>
        <w:pStyle w:val="ListParagraph"/>
        <w:numPr>
          <w:ilvl w:val="0"/>
          <w:numId w:val="3"/>
        </w:numPr>
        <w:spacing w:after="60"/>
      </w:pPr>
      <w:r>
        <w:t xml:space="preserve">1,400자 초과 블록은 1,200자 재분할, 100자 미만 필터링 → 83 청크.</w:t>
      </w:r>
    </w:p>
    <w:p>
      <w:pPr>
        <w:pStyle w:val="ListParagraph"/>
        <w:numPr>
          <w:ilvl w:val="0"/>
          <w:numId w:val="3"/>
        </w:numPr>
        <w:spacing w:after="60"/>
      </w:pPr>
      <w:r>
        <w:t xml:space="preserve">예제(Ch.6)·세그먼트 디렉토리(Ch.9)·EDI Understanding(Ch.10) 산문은 narrative 청크로 처리.</w:t>
      </w:r>
    </w:p>
    <w:p>
      <w:pPr>
        <w:pStyle w:val="Heading2"/>
      </w:pPr>
      <w:r>
        <w:t xml:space="preserve">2.2 청크 레코드 형식</w:t>
      </w:r>
    </w:p>
    <w:p>
      <w:pPr>
        <w:shd w:fill="FBEEDB" w:val="clear"/>
        <w:spacing w:after="80"/>
      </w:pPr>
      <w:r>
        <w:rPr>
          <w:rFonts w:ascii="Consolas" w:cs="Consolas" w:eastAsia="Consolas" w:hAnsi="Consolas"/>
          <w:sz w:val="16"/>
          <w:szCs w:val="16"/>
        </w:rPr>
        <w:t xml:space="preserve">{"id","metadata":{"doc_type":"MOVINS_MIG","segment","segment_desc","chapter","chapter_title","unit_type","char_len"},"text",...}</w:t>
      </w:r>
    </w:p>
    <w:p>
      <w:pPr>
        <w:spacing w:after="120"/>
      </w:pPr>
      <w:r>
        <w:rPr>
          <w:i/>
          <w:iCs/>
          <w:sz w:val="20"/>
          <w:szCs w:val="20"/>
        </w:rPr>
        <w:t xml:space="preserve">핵심 세그먼트 커버리지: LOC(셀/포트) 8, HAN(핸들링) 3, MEA(중량) 5, EQD(컨테이너) 4, DGS(위험물) 3, DTM/RFF 등.</w:t>
      </w:r>
    </w:p>
    <w:p>
      <w:pPr>
        <w:pStyle w:val="Heading1"/>
      </w:pPr>
      <w:r>
        <w:t xml:space="preserve">3. JSONL SFT 데이터셋</w:t>
      </w:r>
    </w:p>
    <w:p>
      <w:pPr>
        <w:spacing w:after="120"/>
      </w:pPr>
      <w:r>
        <w:t xml:space="preserve">모든 답변을 실제 세그먼트/핸들링코드/챕터 인용에 근거시켜 환각을 차단했다. BAPLIE 대비 MOVINS 고유의 동작 의미론(핸들링 코드, SHI/RES 목적셀, COD)을 집중 커버.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task</w:t>
            </w:r>
          </w:p>
        </w:tc>
        <w:tc>
          <w:tcPr>
            <w:tcW w:type="dxa" w:w="4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내용</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근거</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handling_codes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DIS/LOA/SHI/RES/COD/EXC/BAL/VOI 의미</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HAN c524.e4079</w:t>
            </w:r>
          </w:p>
        </w:tc>
      </w:tr>
      <w:tr>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stowage_cell / shift_restow</w:t>
            </w:r>
          </w:p>
        </w:tc>
        <w:tc>
          <w:tcPr>
            <w:tcW w:type="dxa" w:w="4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BBBRRTT 포맷, RFF+DSI 목적셀</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LOC grp3, RFF(2)</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weight / reefer / dangerous_goods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MEA 중량범위, TMP/RNG, DGS IMDG</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grp3, grp5</w:t>
            </w:r>
          </w:p>
        </w:tc>
      </w:tr>
      <w:tr>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message_purpose / function</w:t>
            </w:r>
          </w:p>
        </w:tc>
        <w:tc>
          <w:tcPr>
            <w:tcW w:type="dxa" w:w="4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BAPLIE 관계, BGM 기능코드</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Ch.2, BGM</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example / breakbulk</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LOA 세그먼트 패턴, leading position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Ch.5-6</w:t>
            </w:r>
          </w:p>
        </w:tc>
      </w:tr>
    </w:tbl>
    <w:p>
      <w:pPr>
        <w:shd w:fill="FBEEDB" w:val="clear"/>
        <w:spacing w:after="80"/>
      </w:pPr>
      <w:r>
        <w:rPr>
          <w:rFonts w:ascii="Consolas" w:cs="Consolas" w:eastAsia="Consolas" w:hAnsi="Consolas"/>
          <w:sz w:val="16"/>
          <w:szCs w:val="16"/>
        </w:rPr>
        <w:t xml:space="preserve">{"messages":[...,{"role":"assistant","content":"...DIS=discharge, SHI=shift, RES=restow... (Source: HAN segment, group 2)"}],"meta":{"task":"handling_codes","segment_ref":"HAN c524.e4079"}}</w:t>
      </w:r>
    </w:p>
    <w:p>
      <w:pPr>
        <w:pStyle w:val="Heading1"/>
      </w:pPr>
      <w:r>
        <w:t xml:space="preserve">4. Vector DB 적재용 임베딩 스키마</w:t>
      </w:r>
    </w:p>
    <w:p>
      <w:pPr>
        <w:spacing w:after="120"/>
      </w:pPr>
      <w:r>
        <w:t xml:space="preserve">BAPLIE·ISPS와 동일한 범용 스키마로 통일하여 세 코퍼스를 단일 Vector DB에 함께 적재한다. metadata.doc_type으로 MOVINS_MIG / BAPLIE_MIG / ISPS_MANUAL을 라우팅한다.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필드</w:t>
            </w:r>
          </w:p>
        </w:tc>
        <w:tc>
          <w:tcPr>
            <w:tcW w:type="dxa" w:w="6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설명</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id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청크 고유 ID (mov_0000 …)</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values_ref</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embeddings.npy 행 인덱스 → L2정규화 벡터</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metadata.segment / chapter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세그먼트·챕터 필터링 (예: segment='HAN')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metadata.doc_type='MOVINS_MIG'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BAPLIE/ISPS와 구분하여 도메인 라우팅</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text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원문 청크 (재랭킹·인용 표시용)</w:t>
            </w:r>
          </w:p>
        </w:tc>
      </w:tr>
    </w:tbl>
    <w:p>
      <w:pPr>
        <w:spacing w:after="120"/>
      </w:pPr>
      <w:r>
        <w:rPr>
          <w:i/>
          <w:iCs/>
          <w:sz w:val="20"/>
          <w:szCs w:val="20"/>
        </w:rPr>
        <w:t xml:space="preserve">임베딩 모델 주의: 환경 네트워크 제약으로 TF-IDF+SVD(LSA) 사용. 운영 환경에서 BGE-M3/multilingual-e5 교체 권장. 검색 검증에서 '핸들링'→HAN, '셀위치'→RFF/LOC, '위험물'→DGS가 정확히 반환됨을 확인.</w:t>
      </w:r>
    </w:p>
    <w:p>
      <w:pPr>
        <w:pStyle w:val="Heading1"/>
      </w:pPr>
      <w:r>
        <w:t xml:space="preserve">5. GraphRAG 지식그래프 설계</w:t>
      </w:r>
    </w:p>
    <w:p>
      <w:pPr>
        <w:spacing w:after="120"/>
      </w:pPr>
      <w:r>
        <w:t xml:space="preserve">BAPLIE가 정적 상태 그래프인 데 비해 MOVINS는 동작/이동 그래프다. HandlingInstruction과 Move를 중심 노드로 두고, 핸들링 코드를 RL 액션 공간에 매핑한 것이 핵심이다.</w:t>
      </w:r>
    </w:p>
    <w:p>
      <w:pPr>
        <w:pStyle w:val="Heading2"/>
      </w:pPr>
      <w:r>
        <w:t xml:space="preserve">5.1 핵심 노드·관계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노드</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주요 속성</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HandlingInstruction (HAN)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type(DIS/LOA/SHI/RES/COD…), sequence, port_of_call</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Move (SHI/RES)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move_id, from_slot, to_slot, equipment_id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Container (EQD)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equipment_id, iso_size_type, full_empty, status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Slot (LOC+147)</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bbrrtt, bay, row, tier, format(ISO/RoRo/non-ISO)</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POD (LOC+11)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unlocode, name, seq</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Breakbulk</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bb_ref, leading_slot, carrier</w:t>
            </w:r>
          </w:p>
        </w:tc>
      </w:tr>
    </w:tbl>
    <w:p>
      <w:pPr>
        <w:spacing w:after="120"/>
      </w:pPr>
      <w:r>
        <w:rPr>
          <w:sz w:val="20"/>
          <w:szCs w:val="20"/>
        </w:rPr>
        <w:t xml:space="preserve">관계: INSTRUCTS(HAN→Container), TARGETS_SLOT(HAN→Slot), MOVES_FROM/MOVES_TO(Move→Slot), FOR_POD/CHANGES_POD(HAN→POD), CARRIES_DG, REFERENCES_LEADING(Slot→Breakbulk).</w:t>
      </w:r>
    </w:p>
    <w:p>
      <w:pPr>
        <w:pStyle w:val="Heading2"/>
      </w:pPr>
      <w:r>
        <w:t xml:space="preserve">5.2 핸들링 코드 → RL 액션 매핑 (핵심)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HAN</w:t>
            </w:r>
          </w:p>
        </w:tc>
        <w:tc>
          <w:tcPr>
            <w:tcW w:type="dxa" w:w="4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RL 액션</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리워드 축</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LOA</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PLACE(container, slot)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R1-R15 적재 적합도</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DIS</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REMOVE(container, slot)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양하 효율 OSR</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SHI</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MOVE_WITHIN_BAY(from, to)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shifting 최소화 WBI</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RES</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MOVE_ACROSS_BAY(from, to)</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restow 비용 CWVR</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COD</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RELABEL_POD(container, new_pod)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POD 순서 정합</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EXC/BAL/VOI</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MASK_SLOT(slot, reason)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가용성/안전 제약</w:t>
            </w:r>
          </w:p>
        </w:tc>
      </w:tr>
    </w:tbl>
    <w:p>
      <w:pPr>
        <w:pStyle w:val="Heading2"/>
      </w:pPr>
      <w:r>
        <w:t xml:space="preserve">5.3 text2Cypher 예시</w:t>
      </w:r>
    </w:p>
    <w:p>
      <w:pPr>
        <w:spacing w:after="120"/>
      </w:pPr>
      <w:r>
        <w:rPr>
          <w:b/>
          <w:bCs/>
          <w:sz w:val="20"/>
          <w:szCs w:val="20"/>
        </w:rPr>
        <w:t xml:space="preserve">RES 이동의 출발-목적 셀 쌍 추출 (RL restow 액션 재구성):</w:t>
      </w:r>
    </w:p>
    <w:p>
      <w:pPr>
        <w:shd w:fill="FBEEDB" w:val="clear"/>
        <w:spacing w:after="80"/>
      </w:pPr>
      <w:r>
        <w:rPr>
          <w:rFonts w:ascii="Consolas" w:cs="Consolas" w:eastAsia="Consolas" w:hAnsi="Consolas"/>
          <w:sz w:val="16"/>
          <w:szCs w:val="16"/>
        </w:rPr>
        <w:t xml:space="preserve">MATCH (m:Move)-[:MOVES_FROM]-&gt;(f:Slot),(m)-[:MOVES_TO]-&gt;(t:Slot),(m)-[:OF_CONTAINER]-&gt;(c:Container)
RETURN c.equipment_id, f.bbrrtt AS from, t.bbrrtt AS to</w:t>
      </w:r>
    </w:p>
    <w:p>
      <w:pPr>
        <w:pStyle w:val="Heading2"/>
      </w:pPr>
      <w:r>
        <w:t xml:space="preserve">5.4 BAPLIE·ISPS 그래프와의 통합</w:t>
      </w:r>
    </w:p>
    <w:p>
      <w:pPr>
        <w:spacing w:after="120"/>
      </w:pPr>
      <w:r>
        <w:rPr>
          <w:i/>
          <w:iCs/>
          <w:sz w:val="20"/>
          <w:szCs w:val="20"/>
        </w:rPr>
        <w:t xml:space="preserve">MOVINS의 Slot/Container/POD는 BAPLIE KG와 동일 식별자(bbrrtt, equipment_id, unlocode)를 공유한다. MOVINS는 BAPLIE 상태에 대한 '변화(delta)'를 표현하므로, BAPLIE(상태)+MOVINS(동작)+ISPS(제약)의 3중 통합 LPG가 구성된다. 예: (:Container)-[:ASSIGNED_TO {source:'BAPLIE'}]-&gt;(:Slot)&lt;-[:MOVES_TO {source:'MOVINS'}]-(:Move). 이로써 RL이 산출한 적재계획을 MOVINS 동작으로 표현하고, BAPLIE 상태로 검증하며, ISPS 보안 제약을 함께 적용하는 결정적 오케스트레이션이 완성된다.</w:t>
      </w:r>
    </w:p>
    <w:p>
      <w:pPr>
        <w:pStyle w:val="Heading1"/>
      </w:pPr>
      <w:r>
        <w:t xml:space="preserve">6. 산출물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60"/>
        <w:gridCol w:w="1800"/>
      </w:tblGrid>
      <w:tr>
        <w:trPr>
          <w:tblHeader/>
        </w:trPr>
        <w:tc>
          <w:tcPr>
            <w:tcW w:type="dxa" w:w="3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파일</w:t>
            </w:r>
          </w:p>
        </w:tc>
        <w:tc>
          <w:tcPr>
            <w:tcW w:type="dxa" w:w="4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설명</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규모</w:t>
            </w:r>
          </w:p>
        </w:tc>
      </w:tr>
      <w:tr>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portslm_movins_fulltext.txt</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정제된 MOVINS 전문</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약 9만 자</w:t>
            </w:r>
          </w:p>
        </w:tc>
      </w:tr>
      <w:tr>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portslm_movins_rag_index.jsonl</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청킹+메타데이터+임베딩 참조 인덱스</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83 청크</w:t>
            </w:r>
          </w:p>
        </w:tc>
      </w:tr>
      <w:tr>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portslm_movins_embeddings.npy</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정규화 임베딩 행렬</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83 × 82</w:t>
            </w:r>
          </w:p>
        </w:tc>
      </w:tr>
      <w:tr>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portslm_movins_sft.jsonl</w:t>
            </w:r>
          </w:p>
        </w:tc>
        <w:tc>
          <w:tcPr>
            <w:tcW w:type="dxa" w:w="4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세그먼트/핸들링코드 인용 SFT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sz w:val="18"/>
                <w:szCs w:val="18"/>
              </w:rPr>
              <w:t xml:space="preserve">10 시드</w:t>
            </w:r>
          </w:p>
        </w:tc>
      </w:tr>
      <w:tr>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portslm_movins_graphrag_schema.json</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동작 LPG + RL 액션 매핑</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노드11/관계11/RL매핑6/Cypher3</w:t>
            </w:r>
          </w:p>
        </w:tc>
      </w:tr>
    </w:tbl>
    <w:p>
      <w:pPr>
        <w:spacing w:after="120"/>
      </w:pPr>
      <w:r>
        <w:rPr>
          <w:i/>
          <w:iCs/>
          <w:sz w:val="20"/>
          <w:szCs w:val="20"/>
        </w:rPr>
        <w:t xml:space="preserve">연계: MOVINS 동작 그래프는 BAPLIE 상태 그래프·ISPS 제약 그래프와 단일 LPG로 병합되어, RL→MOVINS(액션)→BAPLIE(상태검증)→ISPS(보안검증)→SLM(설명)의 전체 파이프라인을 지지한다.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00"/>
      <w:outlineLvl w:val="1"/>
    </w:pPr>
    <w:rPr>
      <w:rFonts w:ascii="맑은 고딕" w:cs="맑은 고딕" w:eastAsia="맑은 고딕" w:hAnsi="맑은 고딕"/>
      <w:b/>
      <w:bCs/>
      <w:color w:val="1F7A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2026-06-13T06:21:36.088Z</dcterms:created>
  <dcterms:modified xsi:type="dcterms:W3CDTF">2026-06-13T06:21:36.088Z</dcterms:modified>
</cp:coreProperties>
</file>

<file path=docProps/custom.xml><?xml version="1.0" encoding="utf-8"?>
<Properties xmlns="http://schemas.openxmlformats.org/officeDocument/2006/custom-properties" xmlns:vt="http://schemas.openxmlformats.org/officeDocument/2006/docPropsVTypes"/>
</file>