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oto Sans CJK KR" w:cs="Noto Sans CJK KR" w:eastAsia="Noto Sans CJK KR" w:hAnsi="Noto Sans CJK KR"/>
          <w:b/>
          <w:bCs/>
          <w:color w:val="1F4E79"/>
          <w:sz w:val="40"/>
          <w:szCs w:val="40"/>
        </w:rPr>
        <w:t xml:space="preserve">PortSLM 데이터 파이프라인 문서</w:t>
      </w:r>
    </w:p>
    <w:p>
      <w:pPr>
        <w:spacing w:after="60"/>
        <w:jc w:val="center"/>
      </w:pPr>
      <w:r>
        <w:rPr>
          <w:rFonts w:ascii="Noto Sans CJK KR" w:cs="Noto Sans CJK KR" w:eastAsia="Noto Sans CJK KR" w:hAnsi="Noto Sans CJK KR"/>
          <w:color w:val="555555"/>
          <w:sz w:val="24"/>
          <w:szCs w:val="24"/>
        </w:rPr>
        <w:t xml:space="preserve">컨테이너 적재계획 SOP — Word 구조 → 청킹 → SFT → 임베딩 → GraphRAG</w:t>
      </w:r>
    </w:p>
    <w:p>
      <w:pPr>
        <w:spacing w:after="240"/>
        <w:jc w:val="center"/>
      </w:pPr>
      <w:r>
        <w:rPr>
          <w:rFonts w:ascii="Noto Sans CJK KR" w:cs="Noto Sans CJK KR" w:eastAsia="Noto Sans CJK KR" w:hAnsi="Noto Sans CJK KR"/>
          <w:color w:val="888888"/>
          <w:sz w:val="18"/>
          <w:szCs w:val="18"/>
        </w:rPr>
        <w:t xml:space="preserve">doc_id: STOWAGE_SOP   ·   collection: portslm_regulatory   ·   2026-06</w:t>
      </w:r>
    </w:p>
    <w:p>
      <w:pPr>
        <w:pStyle w:val="Heading1"/>
      </w:pPr>
      <w:r>
        <w:t xml:space="preserve">0. 개요 및 산출물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본 문서는 업로드된 「컨테이너 적재계획 표준작업절차(SOP)」를 PortSLM 파인튜닝과 RAG Agent에 통합 사용할 수 있도록 가공한 6종 산출물을 설명한다. ISPS Code · 2026 IMO Guidebook 파이프라인과 동일한 chunk 필드 스키마를 사용하여 단일 컬렉션(portslm_regulatory)에서 doc_id 필터링으로 멀티문서 검색이 가능하도록 설계했다.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청크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chunks.jsonl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18개 의미 단위 청크 (L1/L2/L3)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SFT 데이터셋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sft_dataset.jsonl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18개 샘플 (4개 task_type)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임베딩 스키마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embedding_schema.json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BGE-M3 1024dim, hybrid+RRF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벡터 적재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vector_upsert.jsonl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18개 upsert 레코드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지식그래프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graph.json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45 노드 / 62 엣지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Cypher 적재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graph_load.cypher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Neo4j MERGE 스크립트</w:t>
            </w:r>
          </w:p>
        </w:tc>
      </w:tr>
    </w:tbl>
    <w:p>
      <w:pPr>
        <w:pStyle w:val="Heading1"/>
      </w:pPr>
      <w:r>
        <w:t xml:space="preserve">1. 텍스트 추출 및 문서 구조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원문 Word 문서는 8개 장(章) 구조로, 7단계 프로세스(2장), 본선 Planning 핵심 규칙(3장), 컨테이너 단위 의사결정 흐름(4장), 예시 사례(5장), SFT 구축 원칙(6장), 거버넌스(8장)로 구성된다. pandoc/extract-text로 텍스트를 추출하고 그림 캡션·표를 구조 정보로 보존했다.</w:t>
      </w:r>
    </w:p>
    <w:p>
      <w:pPr>
        <w:pStyle w:val="Heading1"/>
      </w:pPr>
      <w:r>
        <w:t xml:space="preserve">2. 청킹 설계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청킹 원칙은 "SOP 한 조항 = 학습 샘플 1개"이다. 활동 × 의미 단위로 분할하고, granularity를 L1(개요)/L2(절차·규칙)/L3(세부 규정·예시)로 부여하여 SFT task 다양성과 비교 학습을 강화했다. 각 청크는 clause_ids로 SOP 조항 식별자를 보유해 RAG↔Graph 정합과 인용 근거를 보장한다.</w:t>
      </w:r>
    </w:p>
    <w:p>
      <w:pPr>
        <w:spacing w:after="120"/>
      </w:pPr>
      <w:r>
        <w:rPr>
          <w:rFonts w:ascii="Noto Sans CJK KR" w:cs="Noto Sans CJK KR" w:eastAsia="Noto Sans CJK KR" w:hAnsi="Noto Sans CJK KR"/>
          <w:b/>
          <w:bCs/>
          <w:sz w:val="22"/>
          <w:szCs w:val="22"/>
        </w:rPr>
        <w:t xml:space="preserve">청크 필드 스키마 (ISPS/IMO Guidebook 공통):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chunk_id · doc_id · doc_title · section · title · level(L1/L2/L3)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text · clause_ids[] (인용 근거) · tags[]</w:t>
      </w:r>
    </w:p>
    <w:p>
      <w:pPr>
        <w:spacing w:after="120"/>
      </w:pPr>
      <w:r>
        <w:rPr>
          <w:rFonts w:ascii="Noto Sans CJK KR" w:cs="Noto Sans CJK KR" w:eastAsia="Noto Sans CJK KR" w:hAnsi="Noto Sans CJK KR"/>
          <w:i/>
          <w:iCs/>
          <w:sz w:val="22"/>
          <w:szCs w:val="22"/>
        </w:rPr>
        <w:t xml:space="preserve">Level 분포: L1 2개 · L2 11개 · L3 5개</w:t>
      </w:r>
    </w:p>
    <w:p>
      <w:pPr>
        <w:pStyle w:val="Heading1"/>
      </w:pPr>
      <w:r>
        <w:t xml:space="preserve">3. JSONL SFT 데이터셋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SFT는 instruction/input/output + meta 구조이며, SOP 6장의 권장 3유형(추천+근거, 규정 Q&amp;A, 위반 진단)에 더해 문서 간 연계(cross_doc_qa)를 포함한 4개 task_type으로 구성했다. 모든 output은 SOP 조항(예: SOP-3.2)을 인용하도록 강제하여 GraphRAG 근거와 정합되고 환각이 감소한다.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60"/>
        <w:gridCol w:w="5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task_type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recommend_explain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슬롯 추천 + SOP 근거 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rule_qa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규정 개념·절차 Q&amp;A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violation_diagnosis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잘못된 배치 진단 + 위반 조항 지적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cross_doc_qa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SOP↔RL 보상·거버넌스 문서 간 추론</w:t>
            </w:r>
          </w:p>
        </w:tc>
      </w:tr>
    </w:tbl>
    <w:p>
      <w:pPr>
        <w:pStyle w:val="Heading1"/>
      </w:pPr>
      <w:r>
        <w:t xml:space="preserve">4. Vector DB 임베딩 스키마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BGE-M3(1024차원) 기반, BM25(sparse) + dense 하이브리드 검색을 RRF(k=60)로 융합하며 top_k=8을 반환한다. doc_id·section·level·clause_ids·tags를 필터 필드로 두어 멀티문서·조항 단위 검색을 지원한다. 임베딩 입력 템플릿은 "[doc_id] title\ntext" 형식으로 ISPS·IMO Guidebook과 동일하다.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chunk_id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doc_id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멀티문서 필터 (ISPS/IMO_GUIDEBOOK/STOWAGE_SOP)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L1/L2/L3 granularity 필터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clause_ids[]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조항 필터 + 인용 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vector / sparse_vector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dense / BM25 인덱스</w:t>
            </w:r>
          </w:p>
        </w:tc>
      </w:tr>
    </w:tbl>
    <w:p>
      <w:pPr>
        <w:pStyle w:val="Heading1"/>
      </w:pPr>
      <w:r>
        <w:t xml:space="preserve">5. GraphRAG 지식그래프 설계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LPG(Neo4j) 그래프는 45 노드 / 62 엣지로 구성된다. 노드 라벨은 Document, Process, Step, Rule, Constraint, CargoType, Reward, Example, Chunk이며, 7단계 프로세스 순서(NEXT), 제약 검증 순서(ESCALATES_TO), 규칙 적용(GOVERNED_BY/VALIDATES/APPLIES_TO), 그리고 SOP↔RL 보상 연계(MAPS_TO_REWARD)를 표현한다.</w:t>
      </w:r>
    </w:p>
    <w:p>
      <w:pPr>
        <w:spacing w:after="120"/>
      </w:pPr>
      <w:r>
        <w:rPr>
          <w:rFonts w:ascii="Noto Sans CJK KR" w:cs="Noto Sans CJK KR" w:eastAsia="Noto Sans CJK KR" w:hAnsi="Noto Sans CJK KR"/>
          <w:b/>
          <w:bCs/>
          <w:sz w:val="22"/>
          <w:szCs w:val="22"/>
        </w:rPr>
        <w:t xml:space="preserve">핵심 관계(엣지):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HAS_STEP / NEXT — 7단계 프로세스 순서, REPLAN_LOOP — Confirm 미확보 시 재시도 루프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ESCALATES_TO — 특수화물→POD→중량→재취급 검증 순서 (의사결정 흐름)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VALIDATES / GOVERNED_BY / APPLIES_TO — 제약↔규칙↔화물유형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MAPS_TO_REWARD — POD 그룹핑→R4·R10, 무게 역전→R11 (RL 보상 cross-doc 연계)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CITES / HAS_CHUNK — 예시·청크의 조항 인용으로 RAG↔Graph 정합</w:t>
      </w:r>
    </w:p>
    <w:p>
      <w:pPr>
        <w:pStyle w:val="Heading1"/>
      </w:pPr>
      <w:r>
        <w:t xml:space="preserve">6. 거버넌스 주의</w:t>
      </w:r>
    </w:p>
    <w:p>
      <w:pPr>
        <w:spacing w:after="120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실제 운영사 SOP 원문은 영업 민감 자료이므로 파인튜닝 코퍼스 사용 시 NDA 범위 확인이 필수다. 공개 가능한 본선 플래닝 기준·IMDG·SOLAS 근거는 자유 사용하되, 사내 SOP 인용은 NDA 범위 내에서만 학습에 사용하고 게이트 PII·BAPLIE 등은 가명/비식별 후 접근통제 폴더에서만 취급한다(SOP-8).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888888"/>
        <w:sz w:val="16"/>
        <w:szCs w:val="16"/>
      </w:rPr>
      <w:t xml:space="preserve">PortSLM 파이프라인 — 컨테이너 적재계획 SOP   |   </w:t>
    </w:r>
    <w:r>
      <w:rPr>
        <w:rFonts w:ascii="Noto Sans CJK KR" w:cs="Noto Sans CJK KR" w:eastAsia="Noto Sans CJK KR" w:hAnsi="Noto Sans CJK KR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Noto Sans CJK KR" w:cs="Noto Sans CJK KR" w:eastAsia="Noto Sans CJK KR" w:hAnsi="Noto Sans CJK KR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Noto Sans CJK KR" w:cs="Noto Sans CJK KR" w:eastAsia="Noto Sans CJK KR" w:hAnsi="Noto Sans CJK KR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2026-06-14T12:28:08.654Z</dcterms:created>
  <dcterms:modified xsi:type="dcterms:W3CDTF">2026-06-14T12:28:08.654Z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