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AF87" w14:textId="77777777" w:rsidR="00935449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컨테이너 적재계획 표준작업절차 (SOP)</w:t>
      </w:r>
    </w:p>
    <w:p w14:paraId="25808F9B" w14:textId="77777777" w:rsidR="00935449" w:rsidRDefault="00000000">
      <w:pPr>
        <w:spacing w:after="60"/>
        <w:jc w:val="center"/>
      </w:pPr>
      <w:r>
        <w:rPr>
          <w:color w:val="555555"/>
        </w:rPr>
        <w:t>Container Stowage Planning — Standard Operating Procedure</w:t>
      </w:r>
    </w:p>
    <w:p w14:paraId="501204AD" w14:textId="77777777" w:rsidR="00935449" w:rsidRDefault="00000000"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PortAgent 도메인 특화 SLM </w:t>
      </w:r>
      <w:proofErr w:type="spellStart"/>
      <w:r>
        <w:rPr>
          <w:i/>
          <w:iCs/>
          <w:color w:val="777777"/>
          <w:sz w:val="18"/>
          <w:szCs w:val="18"/>
        </w:rPr>
        <w:t>파인튜닝용</w:t>
      </w:r>
      <w:proofErr w:type="spellEnd"/>
      <w:r>
        <w:rPr>
          <w:i/>
          <w:iCs/>
          <w:color w:val="777777"/>
          <w:sz w:val="18"/>
          <w:szCs w:val="18"/>
        </w:rPr>
        <w:t xml:space="preserve"> 운영 규칙 문서</w:t>
      </w:r>
    </w:p>
    <w:p w14:paraId="5E4A32BE" w14:textId="77777777" w:rsidR="00935449" w:rsidRDefault="00000000" w:rsidP="00F500A6">
      <w:pPr>
        <w:spacing w:after="140"/>
        <w:jc w:val="both"/>
      </w:pPr>
      <w:r>
        <w:rPr>
          <w:b/>
          <w:bCs/>
        </w:rPr>
        <w:t xml:space="preserve">문서 목적: </w:t>
      </w:r>
      <w:r>
        <w:t>본 문서는 야드에 장치된 컨테이너를 선박 슬롯(Bay-Row-Tier)</w:t>
      </w:r>
      <w:proofErr w:type="spellStart"/>
      <w:r>
        <w:t>에</w:t>
      </w:r>
      <w:proofErr w:type="spellEnd"/>
      <w:r>
        <w:t xml:space="preserve"> 배정하는 표준 절차와 제약 규칙을 정리한다. RL 적재엔진의 보상 함수 인코딩과 도메인 SLM의 근거 설명(</w:t>
      </w:r>
      <w:proofErr w:type="spellStart"/>
      <w:r>
        <w:t>파인튜닝</w:t>
      </w:r>
      <w:proofErr w:type="spellEnd"/>
      <w:r>
        <w:t xml:space="preserve"> 코퍼스)</w:t>
      </w:r>
      <w:proofErr w:type="spellStart"/>
      <w:r>
        <w:t>에</w:t>
      </w:r>
      <w:proofErr w:type="spellEnd"/>
      <w:r>
        <w:t xml:space="preserve"> 동시에 사용된다.</w:t>
      </w:r>
    </w:p>
    <w:p w14:paraId="5F899151" w14:textId="77777777" w:rsidR="00935449" w:rsidRDefault="00000000" w:rsidP="00F500A6">
      <w:pPr>
        <w:pStyle w:val="Heading1"/>
        <w:jc w:val="both"/>
      </w:pPr>
      <w:r>
        <w:t>1. 적재계획 SOP 개요</w:t>
      </w:r>
    </w:p>
    <w:p w14:paraId="3B98B8A7" w14:textId="77777777" w:rsidR="00935449" w:rsidRDefault="00000000" w:rsidP="00F500A6">
      <w:pPr>
        <w:spacing w:after="140"/>
        <w:jc w:val="both"/>
      </w:pPr>
      <w:r>
        <w:t>적재계획 SOP는 “어떤 컨테이너를, 어떤 순서로, 선박의 어느 슬롯에 배정할지”</w:t>
      </w:r>
      <w:proofErr w:type="spellStart"/>
      <w:r>
        <w:t>를</w:t>
      </w:r>
      <w:proofErr w:type="spellEnd"/>
      <w:r>
        <w:t xml:space="preserve"> 결정하는 작업 표준이다. 적재계획은 출항 안정성(복원성)과 항만 생산성(</w:t>
      </w:r>
      <w:proofErr w:type="spellStart"/>
      <w:r>
        <w:t>재취급</w:t>
      </w:r>
      <w:proofErr w:type="spellEnd"/>
      <w:r>
        <w:t xml:space="preserve"> 최소화)을 동시에 만족시켜야 하는 다목적 최적화 문제다.</w:t>
      </w:r>
    </w:p>
    <w:p w14:paraId="6CF0AB8B" w14:textId="77777777" w:rsidR="00935449" w:rsidRDefault="00000000" w:rsidP="00F500A6">
      <w:pPr>
        <w:spacing w:after="140"/>
        <w:jc w:val="both"/>
      </w:pPr>
      <w:r>
        <w:t xml:space="preserve">SLM </w:t>
      </w:r>
      <w:proofErr w:type="spellStart"/>
      <w:r>
        <w:t>파인튜닝</w:t>
      </w:r>
      <w:proofErr w:type="spellEnd"/>
      <w:r>
        <w:t xml:space="preserve"> 관점에서 SOP가 중요한 이유는, SOP 조항이 곧 정답 레이블의 근거이기 때문이다. SLM은 단순히 슬롯을 맞히는 것이 아니라 “Heavy-Down 원칙에 따라, POD </w:t>
      </w:r>
      <w:proofErr w:type="spellStart"/>
      <w:r>
        <w:t>그룹핑을</w:t>
      </w:r>
      <w:proofErr w:type="spellEnd"/>
      <w:r>
        <w:t xml:space="preserve"> 만족하므로”</w:t>
      </w:r>
      <w:proofErr w:type="spellStart"/>
      <w:r>
        <w:t>처럼</w:t>
      </w:r>
      <w:proofErr w:type="spellEnd"/>
      <w:r>
        <w:t xml:space="preserve"> SOP 조항을 인용해 설명해야 환각이 줄어든다.</w:t>
      </w:r>
    </w:p>
    <w:p w14:paraId="67F1DB45" w14:textId="77777777" w:rsidR="00935449" w:rsidRDefault="00000000" w:rsidP="00F500A6">
      <w:pPr>
        <w:pStyle w:val="Heading1"/>
        <w:jc w:val="both"/>
      </w:pPr>
      <w:r>
        <w:t>2. 적재계획 전체 프로세스 (7단계)</w:t>
      </w:r>
    </w:p>
    <w:p w14:paraId="4475D5EF" w14:textId="77777777" w:rsidR="00935449" w:rsidRDefault="00000000" w:rsidP="00F500A6">
      <w:pPr>
        <w:spacing w:after="140"/>
        <w:jc w:val="both"/>
      </w:pPr>
      <w:r>
        <w:t>선박 등록부터 작업 확정까지의 표준 흐름은 다음 7단계로 구성된다.</w:t>
      </w:r>
    </w:p>
    <w:p w14:paraId="779D12EE" w14:textId="77777777" w:rsidR="00935449" w:rsidRDefault="00000000" w:rsidP="00F500A6">
      <w:pPr>
        <w:pStyle w:val="Heading2"/>
        <w:jc w:val="both"/>
      </w:pPr>
      <w:r>
        <w:t>2.1 선박 등록 및 Vessel Define</w:t>
      </w:r>
    </w:p>
    <w:p w14:paraId="5FEC1DE2" w14:textId="77777777" w:rsidR="00935449" w:rsidRDefault="00000000" w:rsidP="00F500A6">
      <w:pPr>
        <w:spacing w:after="140"/>
        <w:jc w:val="both"/>
      </w:pPr>
      <w:r>
        <w:t>선사와 터미널이 하역계약을 체결하면 운항담당자가 선박 제원과 장기 운항 스케줄을 제공하고, 터미널은 이를 TOS</w:t>
      </w:r>
      <w:proofErr w:type="spellStart"/>
      <w:r>
        <w:t>에</w:t>
      </w:r>
      <w:proofErr w:type="spellEnd"/>
      <w:r>
        <w:t xml:space="preserve"> 등록한다. Vessel Define에는 다음 선적 제약을 반영한다.</w:t>
      </w:r>
    </w:p>
    <w:p w14:paraId="004356D3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Deck/Hold별 Stacking Weight</w:t>
      </w:r>
    </w:p>
    <w:p w14:paraId="32668976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위험물(DG) 적재 가능 Bay</w:t>
      </w:r>
    </w:p>
    <w:p w14:paraId="22B43F2C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Reefer 적재 가능 Bay</w:t>
      </w:r>
    </w:p>
    <w:p w14:paraId="77E851E6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20’ 전용 Bay, 45’ 적재 가능 위치</w:t>
      </w:r>
    </w:p>
    <w:p w14:paraId="269AD95F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기타 선박 고유 제약사항</w:t>
      </w:r>
    </w:p>
    <w:p w14:paraId="1D91CBE2" w14:textId="77777777" w:rsidR="00935449" w:rsidRDefault="00000000" w:rsidP="00F500A6">
      <w:pPr>
        <w:pStyle w:val="Heading2"/>
        <w:jc w:val="both"/>
      </w:pPr>
      <w:r>
        <w:t>2.2 Vessel Schedule 등록</w:t>
      </w:r>
    </w:p>
    <w:p w14:paraId="7D4763AE" w14:textId="77777777" w:rsidR="00935449" w:rsidRDefault="00000000" w:rsidP="00F500A6">
      <w:pPr>
        <w:spacing w:after="140"/>
        <w:jc w:val="both"/>
      </w:pPr>
      <w:r>
        <w:t>수출화물 반입을 위해 선박 입항 최소 3주 전에 입항 스케줄을 TOS</w:t>
      </w:r>
      <w:proofErr w:type="spellStart"/>
      <w:r>
        <w:t>에</w:t>
      </w:r>
      <w:proofErr w:type="spellEnd"/>
      <w:r>
        <w:t xml:space="preserve"> 등록한다. 이는 야드 장치계획 및 작업계획 수립의 기준 데이터가 된다(터미널마다 등록 시점은 상이).</w:t>
      </w:r>
    </w:p>
    <w:p w14:paraId="36C80E76" w14:textId="77777777" w:rsidR="00935449" w:rsidRDefault="00000000" w:rsidP="00F500A6">
      <w:pPr>
        <w:pStyle w:val="Heading2"/>
        <w:jc w:val="both"/>
      </w:pPr>
      <w:r>
        <w:t>2.3 수출 컨테이너 반입</w:t>
      </w:r>
    </w:p>
    <w:p w14:paraId="33DF8F46" w14:textId="77777777" w:rsidR="00935449" w:rsidRDefault="00000000" w:rsidP="00F500A6">
      <w:pPr>
        <w:spacing w:after="140"/>
        <w:jc w:val="both"/>
      </w:pPr>
      <w:r>
        <w:t>Cargo Open Time은 통상 ETB 기준 7~10일 전, Cargo Closing Time은 통상 ETB 10시간 전이다. 운송사는 KL-Net EDI</w:t>
      </w:r>
      <w:proofErr w:type="spellStart"/>
      <w:r>
        <w:t>를</w:t>
      </w:r>
      <w:proofErr w:type="spellEnd"/>
      <w:r>
        <w:t xml:space="preserve"> 통해 COPINO 정보를 전송한 뒤 반입한다. COPINO 주요 항목은 차량번호, 모선/항차, 컨테이너 번호, Size/Type, POD, 중량 등이다.</w:t>
      </w:r>
    </w:p>
    <w:p w14:paraId="22883212" w14:textId="77777777" w:rsidR="00935449" w:rsidRDefault="00000000" w:rsidP="00F500A6">
      <w:pPr>
        <w:pStyle w:val="Heading2"/>
        <w:jc w:val="both"/>
      </w:pPr>
      <w:r>
        <w:t>2.4 CLL / BAP 수신</w:t>
      </w:r>
    </w:p>
    <w:p w14:paraId="5DF59482" w14:textId="77777777" w:rsidR="00935449" w:rsidRDefault="00000000" w:rsidP="00F500A6">
      <w:pPr>
        <w:spacing w:after="140"/>
        <w:jc w:val="both"/>
      </w:pPr>
      <w:r>
        <w:t>선사는 EDI 형식으로 CLL(Container Loading List)과 BAP(Bay Plan File)을 송부한다. 터미널은 이를 TOS</w:t>
      </w:r>
      <w:proofErr w:type="spellStart"/>
      <w:r>
        <w:t>에</w:t>
      </w:r>
      <w:proofErr w:type="spellEnd"/>
      <w:r>
        <w:t xml:space="preserve"> 업로드하여 Vessel Planning 기초 데이터를 확보한다.</w:t>
      </w:r>
    </w:p>
    <w:p w14:paraId="314F335E" w14:textId="77777777" w:rsidR="00935449" w:rsidRDefault="00000000" w:rsidP="00F500A6">
      <w:pPr>
        <w:pStyle w:val="Heading2"/>
        <w:jc w:val="both"/>
      </w:pPr>
      <w:r>
        <w:lastRenderedPageBreak/>
        <w:t>2.5 Vessel Planning 및 Confirm 절차</w:t>
      </w:r>
    </w:p>
    <w:p w14:paraId="46726574" w14:textId="77777777" w:rsidR="00935449" w:rsidRDefault="00000000" w:rsidP="00F500A6">
      <w:pPr>
        <w:spacing w:after="140"/>
        <w:jc w:val="both"/>
      </w:pPr>
      <w:proofErr w:type="spellStart"/>
      <w:r>
        <w:t>플래너는</w:t>
      </w:r>
      <w:proofErr w:type="spellEnd"/>
      <w:r>
        <w:t xml:space="preserve"> 선박 입항 전 </w:t>
      </w:r>
      <w:proofErr w:type="spellStart"/>
      <w:r>
        <w:t>양적하</w:t>
      </w:r>
      <w:proofErr w:type="spellEnd"/>
      <w:r>
        <w:t xml:space="preserve"> 계획을 수립하고 본선에 EDI로 송부한다. 본선은 통과화물·연료·Ballast 등을 고려해 출항 Condition을 검토한다. Condition이 확보되면 Confirm 회신 후 작업을 진행하고, 미확보 시 Stowage</w:t>
      </w:r>
      <w:proofErr w:type="spellStart"/>
      <w:r>
        <w:t>를</w:t>
      </w:r>
      <w:proofErr w:type="spellEnd"/>
      <w:r>
        <w:t xml:space="preserve"> 수정해 재Planning한다(제약 위반 시 계획 단계로 회귀하는 재시도 루프).</w:t>
      </w:r>
    </w:p>
    <w:p w14:paraId="2DAAF7D8" w14:textId="77777777" w:rsidR="00935449" w:rsidRDefault="00000000" w:rsidP="00F500A6">
      <w:pPr>
        <w:pStyle w:val="Heading2"/>
        <w:jc w:val="both"/>
      </w:pPr>
      <w:r>
        <w:t>2.6 STS Crane 배정 및 Job Sequence</w:t>
      </w:r>
    </w:p>
    <w:p w14:paraId="12F2F81B" w14:textId="77777777" w:rsidR="00935449" w:rsidRDefault="00000000" w:rsidP="00F500A6">
      <w:pPr>
        <w:spacing w:after="140"/>
        <w:jc w:val="both"/>
      </w:pPr>
      <w:r>
        <w:t xml:space="preserve">크레인 투입 대수는 선박 길이, 작업 물량, 계약상 보증 생산성 또는 </w:t>
      </w:r>
      <w:proofErr w:type="spellStart"/>
      <w:r>
        <w:t>재항시간</w:t>
      </w:r>
      <w:proofErr w:type="spellEnd"/>
      <w:r>
        <w:t xml:space="preserve">, 선석 운영 상황으로 결정한다. 최신 STS는 40’ 1Bay </w:t>
      </w:r>
      <w:proofErr w:type="spellStart"/>
      <w:r>
        <w:t>이격</w:t>
      </w:r>
      <w:proofErr w:type="spellEnd"/>
      <w:r>
        <w:t xml:space="preserve"> 투입이 가능하므로 크레인 간 간섭 고려가 필수다. 작업 시퀀스는 크레인별 종료 시간이 유사하도록 물량을 배분하며, 선미가 상대적으로 무거우므로 양하는 선미→선수, 적하는 선수→선미 순으로 진행한다(실제는 </w:t>
      </w:r>
      <w:proofErr w:type="spellStart"/>
      <w:r>
        <w:t>양적하</w:t>
      </w:r>
      <w:proofErr w:type="spellEnd"/>
      <w:r>
        <w:t xml:space="preserve"> 교호 작업으로 유동 조정).</w:t>
      </w:r>
    </w:p>
    <w:p w14:paraId="0E24E719" w14:textId="77777777" w:rsidR="00935449" w:rsidRDefault="00000000" w:rsidP="00F500A6">
      <w:pPr>
        <w:pStyle w:val="Heading2"/>
        <w:jc w:val="both"/>
      </w:pPr>
      <w:r>
        <w:t>2.7 본선 Planning 기준 적용</w:t>
      </w:r>
    </w:p>
    <w:p w14:paraId="38C261E8" w14:textId="77777777" w:rsidR="00935449" w:rsidRDefault="00000000" w:rsidP="00F500A6">
      <w:pPr>
        <w:spacing w:after="140"/>
        <w:jc w:val="both"/>
      </w:pPr>
      <w:r>
        <w:t>위 단계를 거쳐 확보된 데이터에 본선 Planning 핵심 규칙(3장)을 적용하여 컨테이너별 슬롯을 확정한다.</w:t>
      </w:r>
    </w:p>
    <w:p w14:paraId="1432C120" w14:textId="77777777" w:rsidR="00935449" w:rsidRDefault="00000000" w:rsidP="00F500A6">
      <w:pPr>
        <w:spacing w:before="80" w:after="40"/>
        <w:jc w:val="both"/>
      </w:pPr>
      <w:r>
        <w:rPr>
          <w:noProof/>
        </w:rPr>
        <w:drawing>
          <wp:inline distT="0" distB="0" distL="0" distR="0" wp14:anchorId="7AB1969C" wp14:editId="12423C78">
            <wp:extent cx="5975287" cy="35104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607" cy="352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92CE" w14:textId="77777777" w:rsidR="00935449" w:rsidRDefault="00000000" w:rsidP="00F500A6">
      <w:pPr>
        <w:spacing w:after="160"/>
        <w:jc w:val="both"/>
      </w:pPr>
      <w:r>
        <w:rPr>
          <w:i/>
          <w:iCs/>
          <w:color w:val="777777"/>
          <w:sz w:val="18"/>
          <w:szCs w:val="18"/>
        </w:rPr>
        <w:t>[그림 1] 터미널 적재계획 업무 플로우 · 아키텍처 (프로젝트 자료)</w:t>
      </w:r>
    </w:p>
    <w:p w14:paraId="5B37F327" w14:textId="77777777" w:rsidR="00935449" w:rsidRDefault="00000000" w:rsidP="00F500A6">
      <w:pPr>
        <w:pStyle w:val="Heading1"/>
        <w:jc w:val="both"/>
      </w:pPr>
      <w:r>
        <w:t>3. 본선 Planning 핵심 규칙 (제약 조건)</w:t>
      </w:r>
    </w:p>
    <w:p w14:paraId="0C7804D9" w14:textId="77777777" w:rsidR="00935449" w:rsidRDefault="00000000" w:rsidP="00F500A6">
      <w:pPr>
        <w:pStyle w:val="Heading2"/>
        <w:jc w:val="both"/>
      </w:pPr>
      <w:r>
        <w:t>3.1 기본 원칙</w:t>
      </w:r>
    </w:p>
    <w:p w14:paraId="735EBEF6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출항 Condition 확보</w:t>
      </w:r>
    </w:p>
    <w:p w14:paraId="14D0E42C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Weight Planning 최적화</w:t>
      </w:r>
    </w:p>
    <w:p w14:paraId="2CCE28C1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Yard Rehandling 최소화</w:t>
      </w:r>
    </w:p>
    <w:p w14:paraId="7BFE3380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lastRenderedPageBreak/>
        <w:t>작업자 시야 및 작업 편의성 고려</w:t>
      </w:r>
    </w:p>
    <w:p w14:paraId="620AA8F6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선박 제약사항 준수</w:t>
      </w:r>
    </w:p>
    <w:p w14:paraId="4E00E21F" w14:textId="77777777" w:rsidR="00935449" w:rsidRDefault="00000000" w:rsidP="00F500A6">
      <w:pPr>
        <w:pStyle w:val="Heading2"/>
        <w:jc w:val="both"/>
      </w:pPr>
      <w:r>
        <w:t>3.2 Weight Planning 기준</w:t>
      </w:r>
    </w:p>
    <w:p w14:paraId="12EFA9AA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기본 원칙: Heavy Down &amp; Light Up (무거운 화물 하부, 가벼운 화물 상부)</w:t>
      </w:r>
    </w:p>
    <w:p w14:paraId="0F4C8F8A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Hold/Deck 배분: 선박 특성에 따라 5:5 / 6:4 / 7:3 등 조정. Hold</w:t>
      </w:r>
      <w:proofErr w:type="spellStart"/>
      <w:r>
        <w:t>에</w:t>
      </w:r>
      <w:proofErr w:type="spellEnd"/>
      <w:r>
        <w:t xml:space="preserve"> 과도한 중량 집중 시 GM 과다 증가 → Rolling 심화</w:t>
      </w:r>
    </w:p>
    <w:p w14:paraId="072B5E21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선수/선미 방향 배분: 5:5 또는 5:4 수준 유지, 특정 방향 중량 편중 금지</w:t>
      </w:r>
    </w:p>
    <w:p w14:paraId="25C6C5EC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좌/우현 균형: 횡방향 균형 유지 필수</w:t>
      </w:r>
    </w:p>
    <w:p w14:paraId="55A3AF79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작업 방식: 수평 작업이 선박 기울기 최소화에 유리, 수직 작업은 대형선에 적합</w:t>
      </w:r>
    </w:p>
    <w:p w14:paraId="038F8C67" w14:textId="77777777" w:rsidR="00935449" w:rsidRDefault="00000000" w:rsidP="00F500A6">
      <w:pPr>
        <w:pStyle w:val="Heading2"/>
        <w:jc w:val="both"/>
      </w:pPr>
      <w:r>
        <w:t>3.3 특수화물 배치 기준</w:t>
      </w:r>
    </w:p>
    <w:p w14:paraId="3509FDEC" w14:textId="77777777" w:rsidR="00935449" w:rsidRDefault="00000000" w:rsidP="00F500A6">
      <w:pPr>
        <w:spacing w:after="140"/>
        <w:jc w:val="both"/>
      </w:pPr>
      <w:r>
        <w:t>다음 화물은 지정 위치 필수 준수: Reefer, DG(위험물), OOG(장척·초과화물).</w:t>
      </w:r>
    </w:p>
    <w:p w14:paraId="5B5F0A8B" w14:textId="77777777" w:rsidR="00935449" w:rsidRDefault="00000000" w:rsidP="00F500A6">
      <w:pPr>
        <w:pStyle w:val="Heading2"/>
        <w:jc w:val="both"/>
      </w:pPr>
      <w:r>
        <w:t>3.4 선적 Planning 정의</w:t>
      </w:r>
    </w:p>
    <w:p w14:paraId="68245F18" w14:textId="77777777" w:rsidR="00935449" w:rsidRDefault="00000000" w:rsidP="00F500A6">
      <w:pPr>
        <w:spacing w:after="140"/>
        <w:jc w:val="both"/>
      </w:pPr>
      <w:r>
        <w:t>선사 Stowage Plan(POD별 배치 계획)</w:t>
      </w:r>
      <w:proofErr w:type="spellStart"/>
      <w:r>
        <w:t>에</w:t>
      </w:r>
      <w:proofErr w:type="spellEnd"/>
      <w:r>
        <w:t xml:space="preserve"> 따라, 야드에 장치된 컨테이너를 실제 적재 위치에 매칭하는 작업을 선적 Planning이라 한다. 먼 항구(원거리 POD) 화물을 하부에 적재하여 양하 역순(나중에 내릴 화물이 위에 깔리는 것)을 방지한다.</w:t>
      </w:r>
    </w:p>
    <w:p w14:paraId="56610B70" w14:textId="77777777" w:rsidR="00935449" w:rsidRDefault="00000000" w:rsidP="00F500A6">
      <w:pPr>
        <w:pStyle w:val="Heading2"/>
        <w:jc w:val="both"/>
      </w:pPr>
      <w:r>
        <w:t>3.5 Yard Pick-up Planning 기준</w:t>
      </w:r>
    </w:p>
    <w:p w14:paraId="64009ADB" w14:textId="77777777" w:rsidR="00935449" w:rsidRDefault="00000000" w:rsidP="00F500A6">
      <w:pPr>
        <w:spacing w:after="140"/>
        <w:jc w:val="both"/>
      </w:pPr>
      <w:r>
        <w:t>자동화 야드 기준 AI Planning 시 반드시 고려할 요소:</w:t>
      </w:r>
    </w:p>
    <w:p w14:paraId="0641B53B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특정 블록/장비에 작업 집중 금지 (병목 방지)</w:t>
      </w:r>
    </w:p>
    <w:p w14:paraId="21D23A9A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블록 간 Workload 균형 유지</w:t>
      </w:r>
    </w:p>
    <w:p w14:paraId="191EF931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특정 크레인 선적 집중 시 일부는 양하 작업으로 전환 가능</w:t>
      </w:r>
    </w:p>
    <w:p w14:paraId="544A9F12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20’ Twin 작업 시 YT 진행 방향 고려</w:t>
      </w:r>
    </w:p>
    <w:p w14:paraId="4DC56050" w14:textId="77777777" w:rsidR="00935449" w:rsidRDefault="00000000" w:rsidP="00F500A6">
      <w:pPr>
        <w:pStyle w:val="Heading1"/>
        <w:jc w:val="both"/>
      </w:pPr>
      <w:r>
        <w:t>4. 컨테이너 단위 의사결정 흐름</w:t>
      </w:r>
    </w:p>
    <w:p w14:paraId="280CB0AF" w14:textId="77777777" w:rsidR="00935449" w:rsidRDefault="00000000" w:rsidP="00F500A6">
      <w:pPr>
        <w:spacing w:after="140"/>
        <w:jc w:val="both"/>
      </w:pPr>
      <w:r>
        <w:t xml:space="preserve">컨테이너 한 개를 슬롯에 배정할 때, 제약은 다음 순서로 검증한다. 어느 </w:t>
      </w:r>
      <w:proofErr w:type="spellStart"/>
      <w:r>
        <w:t>단계든</w:t>
      </w:r>
      <w:proofErr w:type="spellEnd"/>
      <w:r>
        <w:t xml:space="preserve"> 위반이 발생하면 계획 단계로 회귀하여 재Planning한다.</w:t>
      </w:r>
    </w:p>
    <w:p w14:paraId="09E2F854" w14:textId="77777777" w:rsidR="00935449" w:rsidRDefault="00000000" w:rsidP="00F500A6">
      <w:pPr>
        <w:spacing w:before="80" w:after="40"/>
        <w:jc w:val="both"/>
      </w:pPr>
      <w:r>
        <w:rPr>
          <w:noProof/>
        </w:rPr>
        <w:lastRenderedPageBreak/>
        <w:drawing>
          <wp:inline distT="0" distB="0" distL="0" distR="0" wp14:anchorId="3681E3C4" wp14:editId="01FB29B8">
            <wp:extent cx="5902859" cy="4684609"/>
            <wp:effectExtent l="0" t="0" r="3175" b="1905"/>
            <wp:docPr id="693345841" name="Picture 69334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202" cy="473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5E51" w14:textId="77777777" w:rsidR="00935449" w:rsidRDefault="00000000" w:rsidP="00F500A6">
      <w:pPr>
        <w:spacing w:after="160"/>
        <w:jc w:val="both"/>
      </w:pPr>
      <w:r>
        <w:rPr>
          <w:i/>
          <w:iCs/>
          <w:color w:val="777777"/>
          <w:sz w:val="18"/>
          <w:szCs w:val="18"/>
        </w:rPr>
        <w:t>[그림 2] 컨테이너 적재 슬롯 배정 의사결정 흐름 (제약 검증 순서)</w:t>
      </w:r>
    </w:p>
    <w:p w14:paraId="0FF84549" w14:textId="77777777" w:rsidR="00935449" w:rsidRDefault="00000000" w:rsidP="00F500A6">
      <w:pPr>
        <w:pStyle w:val="Heading1"/>
        <w:jc w:val="both"/>
      </w:pPr>
      <w:r>
        <w:t>5. 예시 사례 — 컨테이너 SNCT-CNTR-000123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35449" w14:paraId="1BF54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BEA9" w14:textId="77777777" w:rsidR="00935449" w:rsidRDefault="00000000" w:rsidP="00F500A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속성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D3BA0" w14:textId="77777777" w:rsidR="00935449" w:rsidRDefault="00000000" w:rsidP="00F500A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935449" w14:paraId="20D680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66BD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Container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327C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SNCT-CNTR-000123</w:t>
            </w:r>
          </w:p>
        </w:tc>
      </w:tr>
      <w:tr w:rsidR="00935449" w14:paraId="03A9C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B913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Size/Type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DE5E9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40HC</w:t>
            </w:r>
          </w:p>
        </w:tc>
      </w:tr>
      <w:tr w:rsidR="00935449" w14:paraId="2B1D7E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14AB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중량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BA49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24.5 톤 (무거운 편)</w:t>
            </w:r>
          </w:p>
        </w:tc>
      </w:tr>
      <w:tr w:rsidR="00935449" w14:paraId="55588F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60C75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8A758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LAX (로스앤젤레스, 원거리 항)</w:t>
            </w:r>
          </w:p>
        </w:tc>
      </w:tr>
      <w:tr w:rsidR="00935449" w14:paraId="17BAD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FB89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특수화물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8511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Reefer/DG/OOG 모두 해당 없음 (일반 Dry)</w:t>
            </w:r>
          </w:p>
        </w:tc>
      </w:tr>
      <w:tr w:rsidR="00935449" w14:paraId="13689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9031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현재 야드 위치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AF6D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YB03-R02-T04</w:t>
            </w:r>
          </w:p>
        </w:tc>
      </w:tr>
      <w:tr w:rsidR="00935449" w14:paraId="73A32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25D6" w14:textId="77777777" w:rsidR="00935449" w:rsidRDefault="00000000" w:rsidP="00F500A6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후보 슬롯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4FB1" w14:textId="77777777" w:rsidR="00935449" w:rsidRDefault="00000000" w:rsidP="00F500A6">
            <w:pPr>
              <w:jc w:val="both"/>
            </w:pPr>
            <w:r>
              <w:rPr>
                <w:sz w:val="20"/>
                <w:szCs w:val="20"/>
              </w:rPr>
              <w:t>BAY03-ROW02-TIER04, BAY05-ROW01-TIER02</w:t>
            </w:r>
          </w:p>
        </w:tc>
      </w:tr>
    </w:tbl>
    <w:p w14:paraId="554419AB" w14:textId="77777777" w:rsidR="00935449" w:rsidRDefault="00000000" w:rsidP="00F500A6">
      <w:pPr>
        <w:pStyle w:val="Heading2"/>
        <w:jc w:val="both"/>
      </w:pPr>
      <w:r>
        <w:t>5.1 단계별 판정</w:t>
      </w:r>
    </w:p>
    <w:p w14:paraId="30998FB6" w14:textId="77777777" w:rsidR="00935449" w:rsidRDefault="00000000" w:rsidP="00F500A6">
      <w:pPr>
        <w:spacing w:after="140"/>
        <w:jc w:val="both"/>
      </w:pPr>
      <w:r>
        <w:rPr>
          <w:b/>
          <w:bCs/>
        </w:rPr>
        <w:t xml:space="preserve">1단계(특수화물): </w:t>
      </w:r>
      <w:r>
        <w:t>Reefer·DG·OOG 모두 false이므로 지정 위치 제약 통과. 일반 Dry로 처리.</w:t>
      </w:r>
    </w:p>
    <w:p w14:paraId="0E2B03C0" w14:textId="77777777" w:rsidR="00935449" w:rsidRDefault="00000000" w:rsidP="00F500A6">
      <w:pPr>
        <w:spacing w:after="140"/>
        <w:jc w:val="both"/>
      </w:pPr>
      <w:r>
        <w:rPr>
          <w:b/>
          <w:bCs/>
        </w:rPr>
        <w:lastRenderedPageBreak/>
        <w:t xml:space="preserve">2단계(POD </w:t>
      </w:r>
      <w:proofErr w:type="spellStart"/>
      <w:r>
        <w:rPr>
          <w:b/>
          <w:bCs/>
        </w:rPr>
        <w:t>그룹핑</w:t>
      </w:r>
      <w:proofErr w:type="spellEnd"/>
      <w:r>
        <w:rPr>
          <w:b/>
          <w:bCs/>
        </w:rPr>
        <w:t xml:space="preserve">): </w:t>
      </w:r>
      <w:r>
        <w:t>기항 순서가 부산→상하이→…→LAX이면 LAX는 원거리 항이므로 먼저 적재해 하부에 배치. 같은 LAX 컨테이너는 같은 Tier</w:t>
      </w:r>
      <w:proofErr w:type="spellStart"/>
      <w:r>
        <w:t>에</w:t>
      </w:r>
      <w:proofErr w:type="spellEnd"/>
      <w:r>
        <w:t xml:space="preserve"> 수평 </w:t>
      </w:r>
      <w:proofErr w:type="spellStart"/>
      <w:r>
        <w:t>그룹핑</w:t>
      </w:r>
      <w:proofErr w:type="spellEnd"/>
      <w:r>
        <w:t>(R10·R4 보상에 대응).</w:t>
      </w:r>
    </w:p>
    <w:p w14:paraId="233B8CEE" w14:textId="77777777" w:rsidR="00935449" w:rsidRDefault="00000000" w:rsidP="00F500A6">
      <w:pPr>
        <w:spacing w:after="140"/>
        <w:jc w:val="both"/>
      </w:pPr>
      <w:r>
        <w:rPr>
          <w:b/>
          <w:bCs/>
        </w:rPr>
        <w:t xml:space="preserve">3단계(중량): </w:t>
      </w:r>
      <w:r>
        <w:t xml:space="preserve">24.5톤은 무거운 편 → Heavy-Down 원칙상 하부 Tier 배치. 좌우 균형·열 무게 한도(예: 145톤) 충족, 무게 역전 시 R11 </w:t>
      </w:r>
      <w:proofErr w:type="spellStart"/>
      <w:r>
        <w:t>패널티</w:t>
      </w:r>
      <w:proofErr w:type="spellEnd"/>
      <w:r>
        <w:t>.</w:t>
      </w:r>
    </w:p>
    <w:p w14:paraId="3E9A586F" w14:textId="77777777" w:rsidR="00935449" w:rsidRDefault="00000000" w:rsidP="00F500A6">
      <w:pPr>
        <w:spacing w:after="140"/>
        <w:jc w:val="both"/>
      </w:pPr>
      <w:r>
        <w:rPr>
          <w:b/>
          <w:bCs/>
        </w:rPr>
        <w:t>4단계(</w:t>
      </w:r>
      <w:proofErr w:type="spellStart"/>
      <w:r>
        <w:rPr>
          <w:b/>
          <w:bCs/>
        </w:rPr>
        <w:t>재취급</w:t>
      </w:r>
      <w:proofErr w:type="spellEnd"/>
      <w:r>
        <w:rPr>
          <w:b/>
          <w:bCs/>
        </w:rPr>
        <w:t xml:space="preserve">): </w:t>
      </w:r>
      <w:r>
        <w:t xml:space="preserve">후보 슬롯에서 다른 컨테이너를 막지 않고(BLOCKS 없음), 야드 반출 시 상단 간섭이 없으면 </w:t>
      </w:r>
      <w:proofErr w:type="spellStart"/>
      <w:r>
        <w:t>재취급</w:t>
      </w:r>
      <w:proofErr w:type="spellEnd"/>
      <w:r>
        <w:t xml:space="preserve"> 위험 low.</w:t>
      </w:r>
    </w:p>
    <w:p w14:paraId="423F6939" w14:textId="77777777" w:rsidR="00935449" w:rsidRDefault="00000000" w:rsidP="00F500A6">
      <w:pPr>
        <w:spacing w:after="140"/>
        <w:jc w:val="both"/>
      </w:pPr>
      <w:r>
        <w:rPr>
          <w:b/>
          <w:bCs/>
        </w:rPr>
        <w:t xml:space="preserve">결과: </w:t>
      </w:r>
      <w:r>
        <w:t xml:space="preserve">추천 슬롯 BAY03-ROW02-TIER01 부근(하부·LAX 밴드), </w:t>
      </w:r>
      <w:proofErr w:type="spellStart"/>
      <w:r>
        <w:t>재취급</w:t>
      </w:r>
      <w:proofErr w:type="spellEnd"/>
      <w:r>
        <w:t xml:space="preserve"> 위험 low. 모든 제약 통과 → Confirm.</w:t>
      </w:r>
    </w:p>
    <w:p w14:paraId="15B493D0" w14:textId="77777777" w:rsidR="00935449" w:rsidRDefault="00000000" w:rsidP="00F500A6">
      <w:pPr>
        <w:spacing w:before="80" w:after="40"/>
        <w:jc w:val="both"/>
      </w:pPr>
      <w:r>
        <w:rPr>
          <w:noProof/>
        </w:rPr>
        <w:drawing>
          <wp:inline distT="0" distB="0" distL="0" distR="0" wp14:anchorId="47657619" wp14:editId="1C71B55C">
            <wp:extent cx="5949664" cy="3503691"/>
            <wp:effectExtent l="0" t="0" r="0" b="1905"/>
            <wp:docPr id="751355259" name="Picture 751355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404" cy="35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5FD0" w14:textId="77777777" w:rsidR="00935449" w:rsidRDefault="00000000" w:rsidP="00F500A6">
      <w:pPr>
        <w:spacing w:after="160"/>
        <w:jc w:val="both"/>
      </w:pPr>
      <w:r>
        <w:rPr>
          <w:i/>
          <w:iCs/>
          <w:color w:val="777777"/>
          <w:sz w:val="18"/>
          <w:szCs w:val="18"/>
        </w:rPr>
        <w:t xml:space="preserve">[그림 3] 예시 단면 — Heavy-Down &amp; POD </w:t>
      </w:r>
      <w:proofErr w:type="spellStart"/>
      <w:r>
        <w:rPr>
          <w:i/>
          <w:iCs/>
          <w:color w:val="777777"/>
          <w:sz w:val="18"/>
          <w:szCs w:val="18"/>
        </w:rPr>
        <w:t>그룹핑</w:t>
      </w:r>
      <w:proofErr w:type="spellEnd"/>
      <w:r>
        <w:rPr>
          <w:i/>
          <w:iCs/>
          <w:color w:val="777777"/>
          <w:sz w:val="18"/>
          <w:szCs w:val="18"/>
        </w:rPr>
        <w:t xml:space="preserve"> 적용 (단일 Bay)</w:t>
      </w:r>
    </w:p>
    <w:p w14:paraId="094392D2" w14:textId="77777777" w:rsidR="00935449" w:rsidRDefault="00000000" w:rsidP="00F500A6">
      <w:pPr>
        <w:pStyle w:val="Heading1"/>
        <w:jc w:val="both"/>
      </w:pPr>
      <w:r>
        <w:t xml:space="preserve">6. SLM </w:t>
      </w:r>
      <w:proofErr w:type="spellStart"/>
      <w:r>
        <w:t>파인튜닝</w:t>
      </w:r>
      <w:proofErr w:type="spellEnd"/>
      <w:r>
        <w:t xml:space="preserve"> 데이터 구축</w:t>
      </w:r>
    </w:p>
    <w:p w14:paraId="0064371E" w14:textId="77777777" w:rsidR="00935449" w:rsidRDefault="00000000" w:rsidP="00F500A6">
      <w:pPr>
        <w:spacing w:after="140"/>
        <w:jc w:val="both"/>
      </w:pPr>
      <w:r>
        <w:t>SOP 한 조항은 곧 하나의 학습 샘플이 된다. 운영 규칙·Q&amp;A</w:t>
      </w:r>
      <w:proofErr w:type="spellStart"/>
      <w:r>
        <w:t>를</w:t>
      </w:r>
      <w:proofErr w:type="spellEnd"/>
      <w:r>
        <w:t xml:space="preserve"> instruction/input/output 형식으로 작성·정제한다. 위 예시 사례를 SFT 포맷으로 변환하면 다음과 같다.</w:t>
      </w:r>
    </w:p>
    <w:p w14:paraId="1FA32F8D" w14:textId="77777777" w:rsidR="00935449" w:rsidRDefault="00000000" w:rsidP="00F500A6">
      <w:pPr>
        <w:shd w:val="clear" w:color="auto" w:fill="F1EFE8"/>
        <w:spacing w:before="80" w:after="80"/>
        <w:jc w:val="both"/>
      </w:pPr>
      <w:r>
        <w:rPr>
          <w:rFonts w:ascii="Consolas" w:eastAsia="Consolas" w:hAnsi="Consolas" w:cs="Consolas"/>
          <w:sz w:val="17"/>
          <w:szCs w:val="17"/>
        </w:rPr>
        <w:t xml:space="preserve">{   "instruction": "다음 컨테이너의 적재 슬롯을 제약 조건에 맞게 추천하고 근거를 SOP 조항으로 설명하라.",   "input": "container_id=SNCT-CNTR-000123, size_type=40HC, weight=24.5t, POD=LAX, reefer=false, dg=false, oog=false, current_yard_slot=YB03-R02-T04, candidate_slots=[BAY03-ROW02-TIER01, BAY05-ROW01-TIER02]",   "output": "추천 슬롯: BAY03-ROW02-TIER01. 근거: (1) 특수화물 아님→지정위치 무관. (2) POD </w:t>
      </w:r>
      <w:proofErr w:type="spellStart"/>
      <w:r>
        <w:rPr>
          <w:rFonts w:ascii="Consolas" w:eastAsia="Consolas" w:hAnsi="Consolas" w:cs="Consolas"/>
          <w:sz w:val="17"/>
          <w:szCs w:val="17"/>
        </w:rPr>
        <w:t>그룹핑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—LAX는 원거리 항이므로 하부 적재로 양하 역순 방지. (3) 중량 24.5t은 Heavy-Down 원칙상 하부 배치 적합, 열 무게 한도·좌우 균형 충족. (4) 상단 적재로 </w:t>
      </w:r>
      <w:proofErr w:type="spellStart"/>
      <w:r>
        <w:rPr>
          <w:rFonts w:ascii="Consolas" w:eastAsia="Consolas" w:hAnsi="Consolas" w:cs="Consolas"/>
          <w:sz w:val="17"/>
          <w:szCs w:val="17"/>
        </w:rPr>
        <w:t>재취급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위험 low. 종합: 4개 제약 모두 충족." }</w:t>
      </w:r>
    </w:p>
    <w:p w14:paraId="5263E9CC" w14:textId="77777777" w:rsidR="00935449" w:rsidRDefault="00000000" w:rsidP="00F500A6">
      <w:pPr>
        <w:spacing w:after="140"/>
        <w:jc w:val="both"/>
      </w:pPr>
      <w:r>
        <w:t xml:space="preserve">권장 데이터 유형은 세 가지다. 첫째 슬롯 추천 + 근거 설명형, 둘째 규정 Q&amp;A형(예: DG 적재 규칙), 셋째 위반 진단형(잘못된 배치의 문제점·위반 조항 지적). 세 유형을 섞으면 추천·설명·검증을 모두 학습한다. 모든 output이 SOP 조항을 인용하도록 강제하면 GraphRAG 단계에서 문서 근거와 </w:t>
      </w:r>
      <w:proofErr w:type="spellStart"/>
      <w:r>
        <w:t>정합되어</w:t>
      </w:r>
      <w:proofErr w:type="spellEnd"/>
      <w:r>
        <w:t xml:space="preserve"> 환각이 감소한다.</w:t>
      </w:r>
    </w:p>
    <w:p w14:paraId="5E0D1A76" w14:textId="77777777" w:rsidR="00935449" w:rsidRDefault="00000000" w:rsidP="00F500A6">
      <w:pPr>
        <w:pStyle w:val="Heading1"/>
        <w:jc w:val="both"/>
      </w:pPr>
      <w:r>
        <w:lastRenderedPageBreak/>
        <w:t>7. 운영자 화면 예시 (PortAgent 대시보드)</w:t>
      </w:r>
    </w:p>
    <w:p w14:paraId="37BD1B87" w14:textId="77777777" w:rsidR="00935449" w:rsidRDefault="00000000" w:rsidP="00F500A6">
      <w:pPr>
        <w:spacing w:after="140"/>
        <w:jc w:val="both"/>
      </w:pPr>
      <w:r>
        <w:t>적재계획 결과는 후보 계획 비교, 제약 검증 결과, 위험 컨테이너, 근거 설명(GraphRAG)</w:t>
      </w:r>
      <w:proofErr w:type="spellStart"/>
      <w:r>
        <w:t>으로</w:t>
      </w:r>
      <w:proofErr w:type="spellEnd"/>
      <w:r>
        <w:t xml:space="preserve"> 운영자에게 제시된다.</w:t>
      </w:r>
    </w:p>
    <w:p w14:paraId="6CD5CAC7" w14:textId="77777777" w:rsidR="00935449" w:rsidRDefault="00000000" w:rsidP="00F500A6">
      <w:pPr>
        <w:spacing w:before="80" w:after="40"/>
        <w:jc w:val="both"/>
      </w:pPr>
      <w:r>
        <w:rPr>
          <w:noProof/>
        </w:rPr>
        <w:drawing>
          <wp:inline distT="0" distB="0" distL="0" distR="0" wp14:anchorId="64FCCB05" wp14:editId="51056F35">
            <wp:extent cx="5334000" cy="3552825"/>
            <wp:effectExtent l="0" t="0" r="0" b="0"/>
            <wp:docPr id="1063476231" name="Picture 1063476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3219" w14:textId="77777777" w:rsidR="00935449" w:rsidRDefault="00000000" w:rsidP="00F500A6">
      <w:pPr>
        <w:spacing w:after="160"/>
        <w:jc w:val="both"/>
      </w:pPr>
      <w:r>
        <w:rPr>
          <w:i/>
          <w:iCs/>
          <w:color w:val="777777"/>
          <w:sz w:val="18"/>
          <w:szCs w:val="18"/>
        </w:rPr>
        <w:t>[그림 4] PortAgent 의사결정 지원 대시보드 (프로젝트 자료)</w:t>
      </w:r>
    </w:p>
    <w:p w14:paraId="547BC205" w14:textId="77777777" w:rsidR="00935449" w:rsidRDefault="00000000" w:rsidP="00F500A6">
      <w:pPr>
        <w:pStyle w:val="Heading1"/>
        <w:jc w:val="both"/>
      </w:pPr>
      <w:r>
        <w:t>8. 데이터 거버넌스 주의사항</w:t>
      </w:r>
    </w:p>
    <w:p w14:paraId="2ACF2AF6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 xml:space="preserve">실제 </w:t>
      </w:r>
      <w:proofErr w:type="spellStart"/>
      <w:r>
        <w:t>운영사</w:t>
      </w:r>
      <w:proofErr w:type="spellEnd"/>
      <w:r>
        <w:t xml:space="preserve"> SOP 원문은 영업 민감 자료이므로, </w:t>
      </w:r>
      <w:proofErr w:type="spellStart"/>
      <w:r>
        <w:t>파인튜닝</w:t>
      </w:r>
      <w:proofErr w:type="spellEnd"/>
      <w:r>
        <w:t xml:space="preserve"> 코퍼스 사용 시 </w:t>
      </w:r>
      <w:proofErr w:type="spellStart"/>
      <w:r>
        <w:t>비식별</w:t>
      </w:r>
      <w:proofErr w:type="spellEnd"/>
      <w:r>
        <w:t>·협약(NDA) 범위 확인 필수.</w:t>
      </w:r>
    </w:p>
    <w:p w14:paraId="68AFDD7B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 xml:space="preserve">공개 가능한 본선 </w:t>
      </w:r>
      <w:proofErr w:type="spellStart"/>
      <w:r>
        <w:t>플래닝</w:t>
      </w:r>
      <w:proofErr w:type="spellEnd"/>
      <w:r>
        <w:t xml:space="preserve"> 기준·IMDG·SOLAS 근거는 자유롭게 사용하되, 사내 SOP 원문 인용은 NDA 범위 안에서만 학습에 사용.</w:t>
      </w:r>
    </w:p>
    <w:p w14:paraId="3DD0A7C7" w14:textId="77777777" w:rsidR="00935449" w:rsidRDefault="00000000" w:rsidP="00F500A6">
      <w:pPr>
        <w:pStyle w:val="ListParagraph"/>
        <w:numPr>
          <w:ilvl w:val="0"/>
          <w:numId w:val="2"/>
        </w:numPr>
        <w:jc w:val="both"/>
      </w:pPr>
      <w:r>
        <w:t>민감 데이터(게이트 PII·BAPLIE 등)는 가명/</w:t>
      </w:r>
      <w:proofErr w:type="spellStart"/>
      <w:r>
        <w:t>비식별</w:t>
      </w:r>
      <w:proofErr w:type="spellEnd"/>
      <w:r>
        <w:t xml:space="preserve"> 후 접근통제 폴더에서만 취급.</w:t>
      </w:r>
    </w:p>
    <w:p w14:paraId="08C14CF2" w14:textId="77777777" w:rsidR="00935449" w:rsidRDefault="00000000" w:rsidP="00F500A6">
      <w:pPr>
        <w:spacing w:before="200" w:after="140"/>
      </w:pPr>
      <w:r>
        <w:rPr>
          <w:b/>
          <w:bCs/>
          <w:color w:val="777777"/>
          <w:sz w:val="18"/>
          <w:szCs w:val="18"/>
        </w:rPr>
        <w:t xml:space="preserve">출처: </w:t>
      </w:r>
      <w:r>
        <w:rPr>
          <w:i/>
          <w:iCs/>
          <w:color w:val="777777"/>
          <w:sz w:val="18"/>
          <w:szCs w:val="18"/>
        </w:rPr>
        <w:t xml:space="preserve">본선 </w:t>
      </w:r>
      <w:proofErr w:type="spellStart"/>
      <w:r>
        <w:rPr>
          <w:i/>
          <w:iCs/>
          <w:color w:val="777777"/>
          <w:sz w:val="18"/>
          <w:szCs w:val="18"/>
        </w:rPr>
        <w:t>플래닝</w:t>
      </w:r>
      <w:proofErr w:type="spellEnd"/>
      <w:r>
        <w:rPr>
          <w:i/>
          <w:iCs/>
          <w:color w:val="777777"/>
          <w:sz w:val="18"/>
          <w:szCs w:val="18"/>
        </w:rPr>
        <w:t xml:space="preserve"> 기준(2026.03), PortAgent 기획서·실행계획서·TOS Standard Model, RL 보상 설계(single_bay_6pod_ppo_v14). [그림 1·4]는 프로젝트 제공 자료, [그림 2·3]은 본 SOP 정리용 작성 도식.</w:t>
      </w:r>
    </w:p>
    <w:sectPr w:rsidR="009354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11FD"/>
    <w:multiLevelType w:val="hybridMultilevel"/>
    <w:tmpl w:val="A5683ABE"/>
    <w:lvl w:ilvl="0" w:tplc="D3702F36">
      <w:start w:val="1"/>
      <w:numFmt w:val="bullet"/>
      <w:lvlText w:val="•"/>
      <w:lvlJc w:val="left"/>
      <w:pPr>
        <w:ind w:left="600" w:hanging="300"/>
      </w:pPr>
    </w:lvl>
    <w:lvl w:ilvl="1" w:tplc="76D8BDF0">
      <w:start w:val="1"/>
      <w:numFmt w:val="bullet"/>
      <w:lvlText w:val="–"/>
      <w:lvlJc w:val="left"/>
      <w:pPr>
        <w:ind w:left="1080" w:hanging="300"/>
      </w:pPr>
    </w:lvl>
    <w:lvl w:ilvl="2" w:tplc="2E68C174">
      <w:numFmt w:val="decimal"/>
      <w:lvlText w:val=""/>
      <w:lvlJc w:val="left"/>
    </w:lvl>
    <w:lvl w:ilvl="3" w:tplc="363E6496">
      <w:numFmt w:val="decimal"/>
      <w:lvlText w:val=""/>
      <w:lvlJc w:val="left"/>
    </w:lvl>
    <w:lvl w:ilvl="4" w:tplc="5D26E730">
      <w:numFmt w:val="decimal"/>
      <w:lvlText w:val=""/>
      <w:lvlJc w:val="left"/>
    </w:lvl>
    <w:lvl w:ilvl="5" w:tplc="D79E73C6">
      <w:numFmt w:val="decimal"/>
      <w:lvlText w:val=""/>
      <w:lvlJc w:val="left"/>
    </w:lvl>
    <w:lvl w:ilvl="6" w:tplc="D8A6F7FA">
      <w:numFmt w:val="decimal"/>
      <w:lvlText w:val=""/>
      <w:lvlJc w:val="left"/>
    </w:lvl>
    <w:lvl w:ilvl="7" w:tplc="DE8E927E">
      <w:numFmt w:val="decimal"/>
      <w:lvlText w:val=""/>
      <w:lvlJc w:val="left"/>
    </w:lvl>
    <w:lvl w:ilvl="8" w:tplc="65829FB4">
      <w:numFmt w:val="decimal"/>
      <w:lvlText w:val=""/>
      <w:lvlJc w:val="left"/>
    </w:lvl>
  </w:abstractNum>
  <w:abstractNum w:abstractNumId="1" w15:restartNumberingAfterBreak="0">
    <w:nsid w:val="67E04AB8"/>
    <w:multiLevelType w:val="hybridMultilevel"/>
    <w:tmpl w:val="8F7888E2"/>
    <w:lvl w:ilvl="0" w:tplc="D2F6D052">
      <w:start w:val="1"/>
      <w:numFmt w:val="bullet"/>
      <w:lvlText w:val="●"/>
      <w:lvlJc w:val="left"/>
      <w:pPr>
        <w:ind w:left="720" w:hanging="360"/>
      </w:pPr>
    </w:lvl>
    <w:lvl w:ilvl="1" w:tplc="812274F6">
      <w:start w:val="1"/>
      <w:numFmt w:val="bullet"/>
      <w:lvlText w:val="○"/>
      <w:lvlJc w:val="left"/>
      <w:pPr>
        <w:ind w:left="1440" w:hanging="360"/>
      </w:pPr>
    </w:lvl>
    <w:lvl w:ilvl="2" w:tplc="86A4E64A">
      <w:start w:val="1"/>
      <w:numFmt w:val="bullet"/>
      <w:lvlText w:val="■"/>
      <w:lvlJc w:val="left"/>
      <w:pPr>
        <w:ind w:left="2160" w:hanging="360"/>
      </w:pPr>
    </w:lvl>
    <w:lvl w:ilvl="3" w:tplc="28B4DBC2">
      <w:start w:val="1"/>
      <w:numFmt w:val="bullet"/>
      <w:lvlText w:val="●"/>
      <w:lvlJc w:val="left"/>
      <w:pPr>
        <w:ind w:left="2880" w:hanging="360"/>
      </w:pPr>
    </w:lvl>
    <w:lvl w:ilvl="4" w:tplc="4864A782">
      <w:start w:val="1"/>
      <w:numFmt w:val="bullet"/>
      <w:lvlText w:val="○"/>
      <w:lvlJc w:val="left"/>
      <w:pPr>
        <w:ind w:left="3600" w:hanging="360"/>
      </w:pPr>
    </w:lvl>
    <w:lvl w:ilvl="5" w:tplc="B3228E3E">
      <w:start w:val="1"/>
      <w:numFmt w:val="bullet"/>
      <w:lvlText w:val="■"/>
      <w:lvlJc w:val="left"/>
      <w:pPr>
        <w:ind w:left="4320" w:hanging="360"/>
      </w:pPr>
    </w:lvl>
    <w:lvl w:ilvl="6" w:tplc="70DE69DE">
      <w:start w:val="1"/>
      <w:numFmt w:val="bullet"/>
      <w:lvlText w:val="●"/>
      <w:lvlJc w:val="left"/>
      <w:pPr>
        <w:ind w:left="5040" w:hanging="360"/>
      </w:pPr>
    </w:lvl>
    <w:lvl w:ilvl="7" w:tplc="07046BB6">
      <w:start w:val="1"/>
      <w:numFmt w:val="bullet"/>
      <w:lvlText w:val="●"/>
      <w:lvlJc w:val="left"/>
      <w:pPr>
        <w:ind w:left="5760" w:hanging="360"/>
      </w:pPr>
    </w:lvl>
    <w:lvl w:ilvl="8" w:tplc="9FF02C38">
      <w:start w:val="1"/>
      <w:numFmt w:val="bullet"/>
      <w:lvlText w:val="●"/>
      <w:lvlJc w:val="left"/>
      <w:pPr>
        <w:ind w:left="6480" w:hanging="360"/>
      </w:pPr>
    </w:lvl>
  </w:abstractNum>
  <w:num w:numId="1" w16cid:durableId="2139106998">
    <w:abstractNumId w:val="1"/>
    <w:lvlOverride w:ilvl="0">
      <w:startOverride w:val="1"/>
    </w:lvlOverride>
  </w:num>
  <w:num w:numId="2" w16cid:durableId="456535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449"/>
    <w:rsid w:val="00935449"/>
    <w:rsid w:val="00BC75CC"/>
    <w:rsid w:val="00F5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A81FF"/>
  <w15:docId w15:val="{2416122E-7DD7-2D48-909C-861B07CD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유홍성</cp:lastModifiedBy>
  <cp:revision>2</cp:revision>
  <dcterms:created xsi:type="dcterms:W3CDTF">2026-06-07T07:34:00Z</dcterms:created>
  <dcterms:modified xsi:type="dcterms:W3CDTF">2026-06-07T07:38:00Z</dcterms:modified>
</cp:coreProperties>
</file>