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922B21"/>
          <w:sz w:val="36"/>
          <w:szCs w:val="36"/>
        </w:rPr>
        <w:t xml:space="preserve">컨테이너 터미널 안전관리 표준운영절차</w:t>
      </w:r>
    </w:p>
    <w:p>
      <w:pPr>
        <w:spacing w:after="60"/>
        <w:jc w:val="center"/>
      </w:pPr>
      <w:r>
        <w:rPr>
          <w:color w:val="555555"/>
          <w:sz w:val="22"/>
          <w:szCs w:val="22"/>
        </w:rPr>
        <w:t xml:space="preserve">Container Terminal Safety Manual — Standard Operating Procedure</w:t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PortAgent 도메인 특화 SLM 파인튜닝용 안전 절차 문서</w:t>
      </w:r>
    </w:p>
    <w:p>
      <w:pPr>
        <w:spacing w:after="140" w:before="0"/>
      </w:pPr>
      <w:r>
        <w:rPr>
          <w:b/>
          <w:bCs/>
        </w:rPr>
        <w:t xml:space="preserve">문서 목적: </w:t>
      </w:r>
      <w:r>
        <w:t xml:space="preserve">본 문서는 컨테이너 터미널의 안전 작업 표준 절차(위험성 평가 → 작업허가 → 통제수단 → 감시 → 비상대응)와 구역별 위험·통제 기준을 정리한다. RAG 코퍼스 및 도메인 SLM의 안전 질의응답·위반 진단 파인튜닝 데이터로 사용된다.</w:t>
      </w:r>
    </w:p>
    <w:p>
      <w:pPr>
        <w:spacing w:after="140" w:before="0"/>
      </w:pPr>
      <w:r>
        <w:rPr>
          <w:b/>
          <w:bCs/>
        </w:rPr>
        <w:t xml:space="preserve">근거 표준: </w:t>
      </w:r>
      <w:r>
        <w:t xml:space="preserve">ILO 항만 안전보건 실무규약(Safety and health in ports, 2016 개정), ILO 협약 제152호(항만작업 안전보건), IMDG Code(위험물), ISPS Code(보안), CSC(컨테이너 안전협약), 국내 산업안전보건법·항만안전특별법.</w:t>
      </w:r>
    </w:p>
    <w:p>
      <w:pPr>
        <w:pStyle w:val="Heading1"/>
      </w:pPr>
      <w:r>
        <w:t xml:space="preserve">1. 개요 및 적용 범위</w:t>
      </w:r>
    </w:p>
    <w:p>
      <w:pPr>
        <w:spacing w:after="140" w:before="0"/>
      </w:pPr>
      <w:r>
        <w:rPr>
          <w:sz w:val="22"/>
          <w:szCs w:val="22"/>
        </w:rPr>
        <w:t xml:space="preserve">Safety Manual SOP는 터미널 내 모든 하역·이송·보관·정비 작업에서 인명·설비·환경 사고를 예방하기 위한 표준 절차다. 적용 범위는 안벽(Quay)의 STS 크레인 작업, 야드(Yard)의 RTG/RMG 및 YT 운영, 게이트(Gate) 반출입, 특수화물(DG·Reefer·OOG) 취급, 고소·밀폐공간·정비 등 비정형 작업을 포함한다.</w:t>
      </w:r>
    </w:p>
    <w:p>
      <w:pPr>
        <w:spacing w:after="140" w:before="0"/>
      </w:pPr>
      <w:r>
        <w:rPr>
          <w:sz w:val="22"/>
          <w:szCs w:val="22"/>
        </w:rPr>
        <w:t xml:space="preserve">SLM 파인튜닝 관점에서 안전 SOP는 “이 작업이 왜 위험하고, 어떤 절차·통제가 필요하며, 무엇을 위반했는가”를 규정 근거로 설명하는 학습 소스가 된다. RAG 근거 인용과 결합해 안전 경보·설명의 환각을 줄인다.</w:t>
      </w:r>
    </w:p>
    <w:p>
      <w:pPr>
        <w:pStyle w:val="Heading1"/>
      </w:pPr>
      <w:r>
        <w:t xml:space="preserve">2. 안전관리 체계와 기본 원칙</w:t>
      </w:r>
    </w:p>
    <w:p>
      <w:pPr>
        <w:pStyle w:val="Heading2"/>
      </w:pPr>
      <w:r>
        <w:t xml:space="preserve">2.1 안전보건경영시스템(OSHMS)</w:t>
      </w:r>
    </w:p>
    <w:p>
      <w:pPr>
        <w:spacing w:after="140" w:before="0"/>
      </w:pPr>
      <w:r>
        <w:rPr>
          <w:sz w:val="22"/>
          <w:szCs w:val="22"/>
        </w:rPr>
        <w:t xml:space="preserve">터미널은 위험요인 식별, 위험성 평가, 통제 계획·이행, 점검·개선의 순환 체계를 운영한다. 모든 작업은 사전 위험성 평가를 거치며, 고위험 작업은 작업허가(PTW)를 받는다.</w:t>
      </w:r>
    </w:p>
    <w:p>
      <w:pPr>
        <w:pStyle w:val="Heading2"/>
      </w:pPr>
      <w:r>
        <w:t xml:space="preserve">2.2 통제수단 우선순위 (Hierarchy of Controls)</w:t>
      </w:r>
    </w:p>
    <w:p>
      <w:pPr>
        <w:spacing w:after="140" w:before="0"/>
      </w:pPr>
      <w:r>
        <w:rPr>
          <w:sz w:val="22"/>
          <w:szCs w:val="22"/>
        </w:rPr>
        <w:t xml:space="preserve">위험 통제는 다음 우선순위로 적용한다. 상위 단계가 우선이며 PPE는 최후 수단이다.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제거(Elimination): 위험원 자체 제거 (예: 불필요한 고소작업 폐지)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대체(Substitution): 덜 위험한 방법·장비로 교체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공학적 통제(Engineering): 방호장치·인터록·난간·접근감지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관리적 통제(Administrative): 절차·교육·신호수·출입통제·속도제한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개인보호구(PPE): 안전모·안전화·반사조끼·안전대 등 (최후 수단)</w:t>
      </w:r>
    </w:p>
    <w:p>
      <w:pPr>
        <w:pStyle w:val="Heading1"/>
      </w:pPr>
      <w:r>
        <w:t xml:space="preserve">3. 안전 작업 표준 프로세스 (6단계)</w:t>
      </w:r>
    </w:p>
    <w:p>
      <w:pPr>
        <w:spacing w:after="140" w:before="0"/>
      </w:pPr>
      <w:r>
        <w:rPr>
          <w:sz w:val="22"/>
          <w:szCs w:val="22"/>
        </w:rPr>
        <w:t xml:space="preserve">개별 작업의 안전 절차는 다음 6단계를 따른다. 어느 단계든 안전 조건이 미충족되면 작업을 중지하고 시정 후 재평가한다(작업 중지권).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1. 위험성 평가(JSA)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작업 분해 → 단계별 위험요인 식별 → 위험도(빈도×강도) 산정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2. 작업허가(PTW)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고위험 작업(고소·밀폐공간·화기·정비·중량물)은 사전 허가·승인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3. 통제수단 적용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우선순위에 따라 제거~PPE 적용, 구역격리·LOTO·신호수 배치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4. 안전 조건 확인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통제 적용 후 조건 충족 여부 점검(미충족 시 중지)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5. 작업 시행·상시 감시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감독자·신호수 감시, 이상 시 즉시 정지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6. 작업 종료·허가 마감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구역 원상복구, 허가서 마감, 이상 보고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419100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[그림 1] 안전 작업 표준 프로세스 — 위험성 평가 → 작업허가 → 통제 → 감시 (작업 중지권 포함)</w:t>
      </w:r>
    </w:p>
    <w:p>
      <w:pPr>
        <w:pStyle w:val="Heading1"/>
      </w:pPr>
      <w:r>
        <w:t xml:space="preserve">4. 작업 구역별 위험요인과 통제 기준</w:t>
      </w:r>
    </w:p>
    <w:p>
      <w:pPr>
        <w:pStyle w:val="Heading2"/>
      </w:pPr>
      <w:r>
        <w:t xml:space="preserve">4.1 안벽(Quay) — STS 크레인 작업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주요 위험: 크레인 낙하물, 스프레더 충돌, 현측·해상 추락, 와이어 파단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통제: 크레인 하부 출입금지 구역 설정, 신호수 배치, 현측 추락방지난간, 스프레더 인터록, 풍속 한계 준수(중단 기준), 차량·보행 동선 분리</w:t>
      </w:r>
    </w:p>
    <w:p>
      <w:pPr>
        <w:pStyle w:val="Heading2"/>
      </w:pPr>
      <w:r>
        <w:t xml:space="preserve">4.2 야드(Yard) — RTG/RMG·YT 운영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주요 위험: 야드 크레인 협착·충돌, 컨테이너 스택 붕괴, YT 차량 사고, 자동화구역 무단진입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통제: 보행자·장비 동선 분리, 속도제한·일방통행, 적재 단수 제한, 자동화구역 접근감지·인터록, 반사조끼·조명, DG 구역 격리</w:t>
      </w:r>
    </w:p>
    <w:p>
      <w:pPr>
        <w:pStyle w:val="Heading2"/>
      </w:pPr>
      <w:r>
        <w:t xml:space="preserve">4.3 게이트(Gate) — 반출입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주요 위험: 외부 차량 혼입, 기사 하차 중 사고, 트위스트록 끼임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통제: 차량·보행 동선 분리, 기사 대기소 운영, 신원·반입정보 확인(ISPS 연계), 트위스트록 점검 지정구역, 조명·CCTV, 속도제한</w:t>
      </w:r>
    </w:p>
    <w:p>
      <w:pPr>
        <w:spacing w:after="40" w:before="80"/>
        <w:jc w:val="center"/>
      </w:pPr>
      <w:r>
        <w:drawing>
          <wp:inline distT="0" distB="0" distL="0" distR="0">
            <wp:extent cx="5143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777777"/>
          <w:sz w:val="18"/>
          <w:szCs w:val="18"/>
        </w:rPr>
        <w:t xml:space="preserve">[그림 2] 구역별 위험·통제 매트릭스 (Quay → Yard → Gate)</w:t>
      </w:r>
    </w:p>
    <w:p>
      <w:pPr>
        <w:pStyle w:val="Heading1"/>
      </w:pPr>
      <w:r>
        <w:t xml:space="preserve">5. 특수화물 안전 취급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760"/>
        <w:gridCol w:w="1900"/>
      </w:tblGrid>
      <w:tr>
        <w:trPr>
          <w:tblHeader/>
        </w:trP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핵심 안전 기준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DG(위험물)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IMDG 등급별 격리, 지정 DG Bay/구역, 발화원 격리, 누출 대비 EmS 비상절차, 표찰·서류 확인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IMDG Code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Reefer(냉동)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지정 Reefer 구역, 전원 연결·점검 접근성, 감전·전기화재 예방, 가스누출 주의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터미널 기준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sz w:val="19"/>
                <w:szCs w:val="19"/>
              </w:rPr>
              <w:t xml:space="preserve">OOG(초과화물)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돌출부 표시, 인접 셀 간섭 방지, 결박(lashing) 강화, 상부 적재 금지(over-height)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CSC·터미널 기준</w:t>
            </w:r>
          </w:p>
        </w:tc>
      </w:tr>
    </w:tbl>
    <w:p>
      <w:pPr>
        <w:pStyle w:val="Heading1"/>
      </w:pPr>
      <w:r>
        <w:t xml:space="preserve">6. 비상대응 및 사고 보고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비상 유형: DG 누출·화재, 인명사고(추락·협착·충돌), 컨테이너 붕괴, 기상 악화·태풍, 해상 오염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대응 절차: 즉시 작업 중지 → 경보·대피 → 초동 조치(소화·구조) → 비상연락망 통보 → 구역 통제 → 2차 피해 방지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사고 보고: 발생 즉시 1차 보고 → 현장 보존 → 원인조사 → 재발방지대책 수립 → 사고보고서 기록·공유(비식별)</w:t>
      </w:r>
    </w:p>
    <w:p>
      <w:pPr>
        <w:spacing w:after="140" w:before="0"/>
      </w:pPr>
      <w:r>
        <w:rPr>
          <w:sz w:val="22"/>
          <w:szCs w:val="22"/>
        </w:rPr>
        <w:t xml:space="preserve">사고보고서는 위험 패턴 학습과 ‘왜 위험한가’ 설명의 근거가 되므로, 개인·법적 민감 정보를 비식별 처리한 뒤 RAG 코퍼스로 활용한다.</w:t>
      </w:r>
    </w:p>
    <w:p>
      <w:pPr>
        <w:pStyle w:val="Heading1"/>
      </w:pPr>
      <w:r>
        <w:t xml:space="preserve">7. 예시 사례 — 야드 RTG 작업 중 보행자 협착 위험</w:t>
      </w:r>
    </w:p>
    <w:p>
      <w:pPr>
        <w:spacing w:after="140" w:before="0"/>
      </w:pPr>
      <w:r>
        <w:rPr>
          <w:b/>
          <w:bCs/>
        </w:rPr>
        <w:t xml:space="preserve">상황: </w:t>
      </w:r>
      <w:r>
        <w:t xml:space="preserve">야드 블록 YB02에서 RMG가 컨테이너를 이적하는 중, 점검 인력이 무선 통보 없이 작업 레인에 진입하려 한다. 자동화 구역으로 접근감지 인터록이 설치되어 있다.</w:t>
      </w:r>
    </w:p>
    <w:p>
      <w:pPr>
        <w:pStyle w:val="Heading2"/>
      </w:pPr>
      <w:r>
        <w:t xml:space="preserve">7.1 단계별 안전 판정</w:t>
      </w:r>
    </w:p>
    <w:p>
      <w:pPr>
        <w:spacing w:after="140" w:before="0"/>
      </w:pPr>
      <w:r>
        <w:rPr>
          <w:b/>
          <w:bCs/>
        </w:rPr>
        <w:t xml:space="preserve">1단계(위험성 평가): </w:t>
      </w:r>
      <w:r>
        <w:t xml:space="preserve">RMG 협착·충돌은 강도 ‘치명’, 무단진입 시 빈도 ‘가능’ → 고위험. 작업 레인은 위험구역.</w:t>
      </w:r>
    </w:p>
    <w:p>
      <w:pPr>
        <w:spacing w:after="140" w:before="0"/>
      </w:pPr>
      <w:r>
        <w:rPr>
          <w:b/>
          <w:bCs/>
        </w:rPr>
        <w:t xml:space="preserve">2단계(작업허가): </w:t>
      </w:r>
      <w:r>
        <w:t xml:space="preserve">자동화구역 내 점검은 작업허가(PTW) 대상. 사전 승인·장비 정지 조건 없이는 진입 불가.</w:t>
      </w:r>
    </w:p>
    <w:p>
      <w:pPr>
        <w:spacing w:after="140" w:before="0"/>
      </w:pPr>
      <w:r>
        <w:rPr>
          <w:b/>
          <w:bCs/>
        </w:rPr>
        <w:t xml:space="preserve">3단계(통제수단): </w:t>
      </w:r>
      <w:r>
        <w:t xml:space="preserve">공학적 통제(접근감지 인터록으로 장비 자동 정지) + 관리적 통제(무선 통보·잠금/표시 LOTO·감시자) 적용. PPE(반사조끼·안전모)는 보조.</w:t>
      </w:r>
    </w:p>
    <w:p>
      <w:pPr>
        <w:spacing w:after="140" w:before="0"/>
      </w:pPr>
      <w:r>
        <w:rPr>
          <w:b/>
          <w:bCs/>
        </w:rPr>
        <w:t xml:space="preserve">4단계(조건 확인): </w:t>
      </w:r>
      <w:r>
        <w:t xml:space="preserve">장비 정지·LOTO 시건·감시자 배치 확인 전에는 안전 조건 미충족 → 작업 중지.</w:t>
      </w:r>
    </w:p>
    <w:p>
      <w:pPr>
        <w:spacing w:after="140" w:before="0"/>
      </w:pPr>
      <w:r>
        <w:rPr>
          <w:b/>
          <w:bCs/>
        </w:rPr>
        <w:t xml:space="preserve">결론: </w:t>
      </w:r>
      <w:r>
        <w:t xml:space="preserve">무선 통보 없는 진입은 즉시 중지 대상. RMG 정지·LOTO 적용·감시자 확보 후 진입 허가. 위반 시 협착 중대재해 가능. 근거: 통제수단 우선순위(공학적&gt;관리적&gt;PPE), 자동화구역 출입통제, ILO 항만 안전보건 실무규약.</w:t>
      </w:r>
    </w:p>
    <w:p>
      <w:pPr>
        <w:pStyle w:val="Heading1"/>
      </w:pPr>
      <w:r>
        <w:t xml:space="preserve">8. SLM 파인튜닝 활용 방안</w:t>
      </w:r>
    </w:p>
    <w:p>
      <w:pPr>
        <w:spacing w:after="140" w:before="0"/>
      </w:pPr>
      <w:r>
        <w:rPr>
          <w:sz w:val="22"/>
          <w:szCs w:val="22"/>
        </w:rPr>
        <w:t xml:space="preserve">안전 SOP는 세 가지 데이터 유형으로 학습 데이터화한다. 모든 답변은 안전 규정·통제 우선순위를 근거로 인용하도록 강제하여 환각을 줄인다.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안전 규정 Q&amp;A형: “자동화 야드 진입 절차는?” → LOTO·접근감지·작업허가 설명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위험 진단·경보형: 작업 상황을 주고 위험요인·필요 통제·중지 여부 판정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절차 안내형: 비상상황(DG 누출 등) 대응 절차를 단계별로 안내</w:t>
      </w:r>
    </w:p>
    <w:p>
      <w:pPr>
        <w:spacing w:after="140" w:before="0"/>
      </w:pPr>
      <w:r>
        <w:rPr>
          <w:b/>
          <w:bCs/>
          <w:color w:val="777777"/>
          <w:sz w:val="18"/>
          <w:szCs w:val="18"/>
        </w:rPr>
        <w:t xml:space="preserve">거버넌스: </w:t>
      </w:r>
      <w:r>
        <w:rPr>
          <w:i/>
          <w:iCs/>
          <w:color w:val="777777"/>
          <w:sz w:val="18"/>
          <w:szCs w:val="18"/>
        </w:rPr>
        <w:t xml:space="preserve">사내 Safety Manual 원문·사고보고서는 영업·법적 민감 자료이므로 NDA·비식별 범위에서만 학습에 사용한다. 공개 표준(ILO·IMDG·CSC·ISPS) 근거는 자유롭게 인용한다.</w:t>
      </w:r>
    </w:p>
    <w:p>
      <w:pPr>
        <w:spacing w:after="140" w:before="200"/>
      </w:pPr>
      <w:r>
        <w:rPr>
          <w:b/>
          <w:bCs/>
          <w:color w:val="777777"/>
          <w:sz w:val="18"/>
          <w:szCs w:val="18"/>
        </w:rPr>
        <w:t xml:space="preserve">출처/근거: </w:t>
      </w:r>
      <w:r>
        <w:rPr>
          <w:i/>
          <w:iCs/>
          <w:color w:val="777777"/>
          <w:sz w:val="18"/>
          <w:szCs w:val="18"/>
        </w:rPr>
        <w:t xml:space="preserve">ILO Safety and health in ports(2016), ILO C152, IMDG Code, ISPS Code, CSC 1972, 국내 산업안전보건법·항만안전특별법. 본 문서는 SLM 학습용 정리 문서이며 실제 적용 시 해당 터미널의 인가된 안전매뉴얼을 우선한다.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922B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C0392B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444444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298c6e8338d84e3c4f97036cc9f20e7d69a7627.png"/><Relationship Id="rId8" Type="http://schemas.openxmlformats.org/officeDocument/2006/relationships/image" Target="media/3cb547047b8605d1e61bcab5ade3a02541d1c2c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2026-06-07T07:55:36.419Z</dcterms:created>
  <dcterms:modified xsi:type="dcterms:W3CDTF">2026-06-07T07:55:36.419Z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