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A2E4A"/>
          <w:sz w:val="52"/>
          <w:szCs w:val="52"/>
        </w:rPr>
        <w:t xml:space="preserve">PortSLM 통합 데이터 파이프라인 설계서</w:t>
      </w:r>
    </w:p>
    <w:p>
      <w:pPr>
        <w:spacing w:after="0" w:before="240"/>
        <w:jc w:val="center"/>
      </w:pPr>
      <w:r>
        <w:rPr>
          <w:color w:val="2E75B6"/>
          <w:sz w:val="26"/>
          <w:szCs w:val="26"/>
        </w:rPr>
        <w:t xml:space="preserve">COPRAR EDIFACT 문서 → 청킹 → SFT → 임베딩 → GraphRAG 일괄 활용</w:t>
      </w:r>
    </w:p>
    <w:p>
      <w:pPr>
        <w:spacing w:after="0" w:before="120"/>
        <w:jc w:val="center"/>
      </w:pPr>
      <w:r>
        <w:rPr>
          <w:color w:val="5A6B82"/>
          <w:sz w:val="22"/>
          <w:szCs w:val="22"/>
        </w:rPr>
        <w:t xml:space="preserve">항만 특화 SLM 파인튜닝 · RAG Agent 데이터 구축</w:t>
      </w:r>
    </w:p>
    <w:p>
      <w:pPr>
        <w:spacing w:before="800"/>
        <w:jc w:val="center"/>
      </w:pPr>
      <w:r>
        <w:rPr>
          <w:color w:val="33455E"/>
          <w:sz w:val="20"/>
          <w:szCs w:val="20"/>
        </w:rPr>
        <w:t xml:space="preserve">PortAgent / PortAgent-RLGraph · SNCT 컨테이너터미널 의사결정 지원 플랫폼</w:t>
      </w:r>
    </w:p>
    <w:p>
      <w:pPr>
        <w:spacing w:before="120"/>
        <w:jc w:val="center"/>
      </w:pPr>
      <w:r>
        <w:rPr>
          <w:color w:val="5A6B82"/>
          <w:sz w:val="16"/>
          <w:szCs w:val="16"/>
        </w:rPr>
        <w:t xml:space="preserve">원천: COPRAR EDIFACT User Guide v2.3 (PCS10-STEIN003, Autoridad Portuaria de Valencia, 2017) · 표준: UN/EDIFACT D.00B / SMDG v2.0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 및 설계 목표</w:t>
      </w:r>
    </w:p>
    <w:p>
      <w:pPr>
        <w:spacing w:after="120" w:line="300"/>
      </w:pPr>
      <w:r>
        <w:t xml:space="preserve">본 문서는 첨부된 </w:t>
      </w:r>
      <w:r>
        <w:rPr>
          <w:b/>
          <w:bCs/>
        </w:rPr>
        <w:t xml:space="preserve">COPRAR EDIFACT User Guide v2.3</w:t>
      </w:r>
      <w:r>
        <w:t xml:space="preserve">(Valenciaport PCS)를 단일 원천으로, 항만 특화 SLM(PortSLM) 파인튜닝과 RAG Agent가 모두 사용할 수 있는 5개 산출물을 일관된 키 체계로 생성하는 파이프라인을 정의한다. COPRAR는 선사·대리점이 터미널에 컨테이너의 적재(loading)·양하(discharge)를 지시하는 표준 EDI 메시지로, PortAgent 데이터 요청서의 정형 9종 중 하나이자 BAPLIE·MOVINS와 함께 EDIFACT 파서가 필요한 핵심 입력이다.</w:t>
      </w:r>
    </w:p>
    <w:p>
      <w:pPr>
        <w:spacing w:after="120" w:line="300"/>
      </w:pPr>
      <w:r>
        <w:t xml:space="preserve">설계 원칙은 다음과 같다.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단일 소스·다중 산출: </w:t>
      </w:r>
      <w:r>
        <w:t xml:space="preserve">문서 1건을 구조 분석 → 청킹한 뒤, 동일 청크를 SFT·벡터DB·KG가 공유한다(중복 가공 제거).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키 일관성: </w:t>
      </w:r>
      <w:r>
        <w:t xml:space="preserve">청크의 chunk_id를 벡터DB의 id이자 KG Segment 노드의 vector_ref로 동일하게 사용해, GraphRAG가 그래프 경로에서 곧바로 원문 청크를 검색하도록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규정 인용 그라운딩: </w:t>
      </w:r>
      <w:r>
        <w:t xml:space="preserve">모든 SFT 출력과 설명은 세그먼트ID·요소코드·자격자를 명시해 환각을 억제한다(기존 작업 원칙 계승).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아키텍처 정렬: </w:t>
      </w:r>
      <w:r>
        <w:t xml:space="preserve">기획서의 L1 캐노니컬 스키마, L2 온톨로지/KG, L5 지식 접근(문서RAG·NL2SQL·GraphRAG), L7 도메인 SLM에 직접 매핑된다.</w:t>
      </w:r>
    </w:p>
    <w:p>
      <w:pPr>
        <w:pStyle w:val="Heading2"/>
      </w:pPr>
      <w:r>
        <w:t xml:space="preserve">1.1 파이프라인 전경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[그림 1] COPRAR 문서 → PortSLM 5단계 통합 데이터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9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산출물(파일)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1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소비 레이어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① 구조 분석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(중간 산출)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세그먼트·SG·요소·코드·계층·Usage 추출</w:t>
            </w:r>
          </w:p>
        </w:tc>
        <w:tc>
          <w:tcPr>
            <w:tcW w:type="dxa" w:w="1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② 청킹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portslm_coprar_chunks.jsonl (26)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세그먼트 단위 청크 + 메타데이터</w:t>
            </w:r>
          </w:p>
        </w:tc>
        <w:tc>
          <w:tcPr>
            <w:tcW w:type="dxa" w:w="1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②→④⑤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③ SFT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portslm_coprar_sft.jsonl (21)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task, chat+평면 IO, 규정 인용</w:t>
            </w:r>
          </w:p>
        </w:tc>
        <w:tc>
          <w:tcPr>
            <w:tcW w:type="dxa" w:w="1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L7 SLM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④ 임베딩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vector_schema.json / vector_records.jsonl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BGE-M3 1024d, Chroma/pgvector</w:t>
            </w:r>
          </w:p>
        </w:tc>
        <w:tc>
          <w:tcPr>
            <w:tcW w:type="dxa" w:w="1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L5 문서RAG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⑤ GraphRAG</w:t>
            </w:r>
          </w:p>
        </w:tc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nodes_*.csv / rels_*.csv / *.cypher</w:t>
            </w:r>
          </w:p>
        </w:tc>
        <w:tc>
          <w:tcPr>
            <w:tcW w:type="dxa" w:w="2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Neo4j 노드 203·엣지 5종·Cypher</w:t>
            </w:r>
          </w:p>
        </w:tc>
        <w:tc>
          <w:tcPr>
            <w:tcW w:type="dxa" w:w="1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L2/L5 KG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1] 5단계 산출물 요약</w:t>
      </w:r>
    </w:p>
    <w:p>
      <w:r>
        <w:br w:type="page"/>
      </w:r>
    </w:p>
    <w:p>
      <w:pPr>
        <w:pStyle w:val="Heading1"/>
      </w:pPr>
      <w:r>
        <w:t xml:space="preserve">2. 문서 구조 분석 (① 단계)</w:t>
      </w:r>
    </w:p>
    <w:p>
      <w:pPr>
        <w:spacing w:after="120" w:line="300"/>
      </w:pPr>
      <w:r>
        <w:t xml:space="preserve">COPRAR 메시지는 EDIFACT 세그먼트의 계층 구조를 가진다. 이 구조를 그대로 청킹·KG의 1차 경계로 삼는다. 분석 결과 핵심 세그먼트 그룹과 역할은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1300"/>
        <w:gridCol w:w="1100"/>
        <w:gridCol w:w="2260"/>
      </w:tblGrid>
      <w:tr>
        <w:trPr>
          <w:tblHeader/>
        </w:trP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그룹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구성 / 역할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반복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PortAgent 매핑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헤더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UNB·UNH·BGM·DTM — 교환/메시지/문서유형/일시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WorkOrder 메타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SG1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RFF — 메시지 참조(AAY)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참조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SG2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TDT·RFF·SG3 — 본선/항차/입항참조/항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Vessel·Call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SG4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NAD·SG5 — 당사자(MS/MR/TR/CG/HR/SLS)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Party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SG6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EQD·RFF·LOC·MEA·DIM·SG7·SEL·FTX·SG8·SG10·NAD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M*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9999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Container·Slot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SG7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TMP·RNG — Reefer 온도/범위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C-REEFER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SG8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DGS·FTX — 위험물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99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C-DG</w:t>
            </w:r>
          </w:p>
        </w:tc>
      </w:tr>
      <w:tr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SG10/11</w:t>
            </w:r>
          </w:p>
        </w:tc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TDT·DTM·RFF·LOC — 환적 후속 운송/항</w:t>
            </w:r>
          </w:p>
        </w:tc>
        <w:tc>
          <w:tcPr>
            <w:tcW w:type="dxa" w:w="1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2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Transhipment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2] COPRAR 세그먼트 그룹 구조 (M*: Original/Replace에서 필수)</w:t>
      </w:r>
    </w:p>
    <w:p>
      <w:pPr>
        <w:spacing w:after="120" w:line="300"/>
      </w:pPr>
      <w:r>
        <w:rPr>
          <w:b/>
          <w:bCs/>
        </w:rPr>
        <w:t xml:space="preserve">Usage 지표: </w:t>
      </w:r>
      <w:r>
        <w:t xml:space="preserve">M(Mandatory)·R(Required)·D(Dependent)·O(Optional)·X(Not Used). 청크 메타데이터에 usage_indicator로 보존해 SFT의 검증 task와 GraphRAG 설명에서 “필수/선택 여부” 판단 근거로 활용한다.</w:t>
      </w:r>
    </w:p>
    <w:p>
      <w:r>
        <w:br w:type="page"/>
      </w:r>
    </w:p>
    <w:p>
      <w:pPr>
        <w:pStyle w:val="Heading1"/>
      </w:pPr>
      <w:r>
        <w:t xml:space="preserve">3. 청킹 설계 (② 단계)</w:t>
      </w:r>
    </w:p>
    <w:p>
      <w:pPr>
        <w:spacing w:after="120" w:line="300"/>
      </w:pPr>
      <w:r>
        <w:t xml:space="preserve">청킹 전략은 고정 토큰 분할이 아니라 세그먼트 단위 의미 청킹이다. EDIFACT의 세그먼트는 그 자체로 완결된 의미 단위이므로, 1세그먼트(또는 개념 블록)를 1청크로 만들어 검색 정밀도와 근거 인용 가능성을 높인다. 총 26개 청크(개념 2 + 세그먼트 24)를 생성했다.</w:t>
      </w:r>
    </w:p>
    <w:p>
      <w:pPr>
        <w:pStyle w:val="Heading2"/>
      </w:pPr>
      <w:r>
        <w:t xml:space="preserve">3.1 청크 스키마 (JSONL)</w:t>
      </w:r>
    </w:p>
    <w:p>
      <w:pPr>
        <w:pBdr>
          <w:left w:val="single" w:color="2E75B6" w:sz="18" w:space="8"/>
        </w:pBdr>
        <w:shd w:fill="F4F6F9" w:val="clear"/>
        <w:spacing w:after="120"/>
      </w:pPr>
      <w:r>
        <w:rPr>
          <w:rFonts w:ascii="Consolas" w:cs="Consolas" w:eastAsia="Consolas" w:hAnsi="Consolas"/>
          <w:color w:val="1F3050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"chunk_id": "COPRAR_VLCPCS_v2.3::EQD::&lt;hash&gt;",   // 벡터DB id = KG vector_ref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"doc_id": "COPRAR_VLCPCS_v2.3",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"source": "PCS10-STEIN003 ...",  "standard": "UN/EDIFACT D.00B / SMDG v2.0",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"chunk_type": "segment" | "concept",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"title": "EQD Equipment Details (SG6, 컨테이너 핵심)",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"text": "&lt;정규화된 한국어 설명 + 코드 + 예시 세그먼트&gt;",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"metadata": {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"segment_id": "EQD", "segment_group": "SG6", "hierarchy_level": 1,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"usage_indicator": "M", "page": 29,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"element_codes": ["8053","8260","8155","8249","8169", ...],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"qualifiers": ["CN","2","3","6","4","5", ...],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"domain_tags": ["EQD","container","ISO6346","equipment-status","SG6"],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"lang": "ko"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}</w:t>
      </w:r>
    </w:p>
    <w:p>
      <w:pPr>
        <w:pStyle w:val="Heading2"/>
      </w:pPr>
      <w:r>
        <w:t xml:space="preserve">3.2 메타데이터 설계 의도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element_codes / qualifiers: </w:t>
      </w:r>
      <w:r>
        <w:t xml:space="preserve">필터 검색(예: 8249=6 환적만)과 KG의 HAS_ELEMENT·USES_CODE 엣지 생성의 원천.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domain_tags: </w:t>
      </w:r>
      <w:r>
        <w:t xml:space="preserve">dangerous-goods·reefer·OOG 등 제약 도메인 태그로 RAG 사전 필터링.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segment_group / hierarchy_level / usage_indicator: </w:t>
      </w:r>
      <w:r>
        <w:t xml:space="preserve">메시지 구조·필수성 질의응답의 근거.</w:t>
      </w:r>
    </w:p>
    <w:p>
      <w:r>
        <w:br w:type="page"/>
      </w:r>
    </w:p>
    <w:p>
      <w:pPr>
        <w:pStyle w:val="Heading1"/>
      </w:pPr>
      <w:r>
        <w:t xml:space="preserve">4. SFT 데이터셋 (③ 단계)</w:t>
      </w:r>
    </w:p>
    <w:p>
      <w:pPr>
        <w:spacing w:after="120" w:line="300"/>
      </w:pPr>
      <w:r>
        <w:t xml:space="preserve">청크의 규범 내용을 6개 task 유형의 instruction 데이터로 변환했다(총 21건, 확장 예정). 각 레코드는 chat 포맷(messages)과 평면 포맷(instruction/input/output)을 함께 담아 PEFT/LoRA·QLoRA 학습 파이프라인 호환성을 확보한다. 모든 system 프롬프트는 “세그먼트ID·요소코드·자격자를 명시하고 규격에 없는 내용은 추측하지 않는다”를 강제한다.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4200"/>
        <w:gridCol w:w="2160"/>
      </w:tblGrid>
      <w:tr>
        <w:trPr>
          <w:tblHeader/>
        </w:trP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task_type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PortSLM 용도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segment_qa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세그먼트·요소 규범 Q&amp;A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설명 생성 그라운딩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code_qa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코드/자격자 의미 정의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코드 해석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edi_parse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COPRAR 세그먼트→자연어 해석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양하지시 설명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violation_diag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필수요소 누락·규칙 위반 진단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Constraint Validator 보조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nl2edi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자연어→COPRAR 세그먼트 생성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EDI 작성 지원</w:t>
            </w:r>
          </w:p>
        </w:tc>
      </w:tr>
      <w:tr>
        <w:tc>
          <w:tcPr>
            <w:tcW w:type="dxa" w:w="2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text2cypher</w:t>
            </w:r>
          </w:p>
        </w:tc>
        <w:tc>
          <w:tcPr>
            <w:tcW w:type="dxa" w:w="9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자연어→KG Cypher 변환</w:t>
            </w:r>
          </w:p>
        </w:tc>
        <w:tc>
          <w:tcPr>
            <w:tcW w:type="dxa" w:w="21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GraphRAG/NL2SQL 품질↑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3] SFT task 분포</w:t>
      </w:r>
    </w:p>
    <w:p>
      <w:pPr>
        <w:pStyle w:val="Heading2"/>
      </w:pPr>
      <w:r>
        <w:t xml:space="preserve">4.1 샘플 (위반 진단 + NL2EDI + text2Cypher)</w:t>
      </w:r>
    </w:p>
    <w:p>
      <w:pPr>
        <w:pBdr>
          <w:left w:val="single" w:color="2E75B6" w:sz="18" w:space="8"/>
        </w:pBdr>
        <w:shd w:fill="F4F6F9" w:val="clear"/>
        <w:spacing w:after="120"/>
      </w:pPr>
      <w:r>
        <w:rPr>
          <w:rFonts w:ascii="Consolas" w:cs="Consolas" w:eastAsia="Consolas" w:hAnsi="Consolas"/>
          <w:color w:val="1F3050"/>
          <w:sz w:val="18"/>
          <w:szCs w:val="18"/>
        </w:rPr>
        <w:t xml:space="preserve">{ "task_type":"violation_diag",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"instruction":"적재지시(121)인데 Full 컨테이너의 EQD 8249가 누락. 검증하라.",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"input":"BGM 1001=121, EQD 8169=5(Full), 8249=(없음)",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"output":"검증 실패. Full(8169&lt;&gt;4)은 8249 필수. 적재지시이므로 8249=2(Export)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        공급 필요. 조치: EQD에 8249=2 추가 또는 8169=4 정정.",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"citation":"COPRAR EDIFACT User Guide v2.3 (Valenciaport PCS)" }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{ "task_type":"nl2edi", "input":"VGM 28,500 kg",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"output":"MEA+AAE+VGM+KGM:28500'  (6311=AAE,6313=VGM,6411=KGM)" }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{ "task_type":"text2cypher",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"input":"POD가 Rotterdam인 DG 컨테이너가 배정된 슬롯",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"output":"MATCH (c:Container)-[:HAS_POD]-&gt;(p:Port {unlocode:'NLRTM'})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        WHERE c.dg=true MATCH (c)-[:ASSIGNED_TO]-&gt;(s:Slot)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        RETURN c.container_id, c.imdg_class, s.bay, s.row, s.tier;" }</w:t>
      </w:r>
    </w:p>
    <w:p>
      <w:pPr>
        <w:spacing w:after="120" w:line="300"/>
      </w:pPr>
      <w:r>
        <w:rPr>
          <w:b/>
          <w:bCs/>
        </w:rPr>
        <w:t xml:space="preserve">확장 권고: </w:t>
      </w:r>
      <w:r>
        <w:t xml:space="preserve">BAPLIE·MOVINS 가이드가 확보되면 동일 task 체계로 교차 메시지 Q&amp;A(COPRAR↔BAPLIE 정합성)와 다국어(영문 약어) 쌍을 추가한다. 목표 규모는 task당 50~150건이다.</w:t>
      </w:r>
    </w:p>
    <w:p>
      <w:r>
        <w:br w:type="page"/>
      </w:r>
    </w:p>
    <w:p>
      <w:pPr>
        <w:pStyle w:val="Heading1"/>
      </w:pPr>
      <w:r>
        <w:t xml:space="preserve">5. 임베딩 스키마 (④ 단계)</w:t>
      </w:r>
    </w:p>
    <w:p>
      <w:pPr>
        <w:spacing w:after="120" w:line="300"/>
      </w:pPr>
      <w:r>
        <w:t xml:space="preserve">청크를 그대로 벡터DB에 적재하기 위한 컬렉션 스키마를 정의한다. 기획서의 L5 임베딩 모델(BGE-M3 계열, 한국어 운영문서+영문 항만 약어 동시 검색)과 벡터DB(Chroma)에 정렬했으며 pgvector도 호환한다.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collection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portslm_coprar_v23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embedding_model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BAAI/bge-m3 (1024-dim, normalize=True)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distance / index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cosine / HNSW (m=16, ef_construction=200)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embedding_input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"{title}\n{text}" — 제목+본문 결합 임베딩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검색 기본값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top_k=6, score_threshold=0.35, 하이브리드(BM25+벡터, alpha=0.5)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메타 필터 예</w:t>
            </w:r>
          </w:p>
        </w:tc>
        <w:tc>
          <w:tcPr>
            <w:tcW w:type="dxa" w:w="67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domain_tags⊇dangerous-goods / segment_id=EQD / chunk_type=concept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4] Vector DB 컬렉션 스키마 (vector_schema.json)</w:t>
      </w:r>
    </w:p>
    <w:p>
      <w:pPr>
        <w:spacing w:after="120" w:line="300"/>
      </w:pPr>
      <w:r>
        <w:rPr>
          <w:b/>
          <w:bCs/>
        </w:rPr>
        <w:t xml:space="preserve">적재 레코드: </w:t>
      </w:r>
      <w:r>
        <w:t xml:space="preserve">vector_records.jsonl의 각 행은 id·document·embedding_input·metadata로 구성된다(embedding은 적재 시 BGE-M3로 생성). 메타데이터의 element_codes·qualifiers·domain_tags는 파이프(|) 구분 문자열로 평탄화해 Chroma where 필터와 호환한다.</w:t>
      </w:r>
    </w:p>
    <w:p>
      <w:pPr>
        <w:spacing w:after="120" w:line="300"/>
      </w:pPr>
      <w:r>
        <w:rPr>
          <w:b/>
          <w:bCs/>
        </w:rPr>
        <w:t xml:space="preserve">핵심 연계: </w:t>
      </w:r>
      <w:r>
        <w:t xml:space="preserve">레코드 id는 청크의 chunk_id와 동일하다. 따라서 GraphRAG가 그래프 경로에서 얻은 Segment.vector_ref로 벡터DB 원문을 즉시 조회할 수 있어, “그래프 추론 → 원문 근거 인용”이 한 키로 이어진다.</w:t>
      </w:r>
    </w:p>
    <w:p>
      <w:r>
        <w:br w:type="page"/>
      </w:r>
    </w:p>
    <w:p>
      <w:pPr>
        <w:pStyle w:val="Heading1"/>
      </w:pPr>
      <w:r>
        <w:t xml:space="preserve">6. GraphRAG 지식그래프 설계 (⑤ 단계)</w:t>
      </w:r>
    </w:p>
    <w:p>
      <w:pPr>
        <w:spacing w:after="120" w:line="300"/>
      </w:pPr>
      <w:r>
        <w:t xml:space="preserve">청크의 구조·코드 정보를 Neo4j Property Graph로 적재한다. 규정 KG(COPRAR 정적 지식)와 운영 KG(COPRAR 인스턴스·RL 적재 결과)를 분리하되, Constraint 노드를 다리로 결합해 “적재 검증 → 위반 → 규정 근거 청크” 경로를 완성한다.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[그림 2] GraphRAG 지식그래프 스키마 (규정 KG + 운영 KG 연동)</w:t>
      </w:r>
    </w:p>
    <w:p>
      <w:pPr>
        <w:pStyle w:val="Heading2"/>
      </w:pPr>
      <w:r>
        <w:t xml:space="preserve">6.1 노드 (총 203)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100"/>
        <w:gridCol w:w="5960"/>
      </w:tblGrid>
      <w:tr>
        <w:trPr>
          <w:tblHeader/>
        </w:trP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노드 레이블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수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속성 / 역할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Document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doc_id, standard — 원천 문서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SegmentGroup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sg_id, name — SG1·2·4·6·7·8·10·11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Segment;EvidenceChunk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chunk_id(=vector_ref), segment_id, usage, level, page — RAG 근거 노드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Element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92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element_code — EDIFACT 데이터 요소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CodeValue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69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code, meaning — 자격자/코드값 의미사전</w:t>
            </w:r>
          </w:p>
        </w:tc>
      </w:tr>
      <w:tr>
        <w:tc>
          <w:tcPr>
            <w:tcW w:type="dxa" w:w="23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59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type, rule_text, severity — DG/Reefer/OOG/중량/순서/VGM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5] KG 노드</w:t>
      </w:r>
    </w:p>
    <w:p>
      <w:pPr>
        <w:pStyle w:val="Heading2"/>
      </w:pPr>
      <w:r>
        <w:t xml:space="preserve">6.2 엣지 (5종 + 운영 연동)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관계</w:t>
            </w:r>
          </w:p>
        </w:tc>
        <w:tc>
          <w:tcPr>
            <w:tcW w:type="dxa" w:w="6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Segment -[:PART_OF]-&gt; SegmentGroup</w:t>
            </w:r>
          </w:p>
        </w:tc>
        <w:tc>
          <w:tcPr>
            <w:tcW w:type="dxa" w:w="6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세그먼트의 그룹 소속 (메시지 구조)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Segment -[:DESCRIBED_IN]-&gt; Document</w:t>
            </w:r>
          </w:p>
        </w:tc>
        <w:tc>
          <w:tcPr>
            <w:tcW w:type="dxa" w:w="6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원천 문서 추적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Segment -[:HAS_ELEMENT]-&gt; Element</w:t>
            </w:r>
          </w:p>
        </w:tc>
        <w:tc>
          <w:tcPr>
            <w:tcW w:type="dxa" w:w="6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세그먼트가 포함하는 데이터 요소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Segment -[:USES_CODE]-&gt; CodeValue</w:t>
            </w:r>
          </w:p>
        </w:tc>
        <w:tc>
          <w:tcPr>
            <w:tcW w:type="dxa" w:w="6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세그먼트가 사용하는 코드/자격자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Constraint -[:SUPPORTED_BY]-&gt; Segment</w:t>
            </w:r>
          </w:p>
        </w:tc>
        <w:tc>
          <w:tcPr>
            <w:tcW w:type="dxa" w:w="6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제약의 규정 근거 청크 (GraphRAG 설명 경로)</w:t>
            </w:r>
          </w:p>
        </w:tc>
      </w:tr>
      <w:tr>
        <w:tc>
          <w:tcPr>
            <w:tcW w:type="dxa" w:w="2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Constraint -[:APPLIES_TO]-&gt; Container ⋯</w:t>
            </w:r>
          </w:p>
        </w:tc>
        <w:tc>
          <w:tcPr>
            <w:tcW w:type="dxa" w:w="66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운영 KG 결합: 적재 인스턴스에 제약 적용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6] KG 엣지 (마지막 행은 운영 KG 연동점)</w:t>
      </w:r>
    </w:p>
    <w:p>
      <w:pPr>
        <w:pStyle w:val="Heading2"/>
      </w:pPr>
      <w:r>
        <w:t xml:space="preserve">6.3 제약 매핑 (COPRAR → PortAgent Constraint)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3460"/>
        <w:gridCol w:w="1100"/>
      </w:tblGrid>
      <w:tr>
        <w:trPr>
          <w:tblHeader/>
        </w:trP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근거 세그먼트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C-DG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DG_segregation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DGS (IMDG class)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C-REEFER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reefer_temperature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TMP / RNG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C-OOG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oog_dimension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DIM (off-standard)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C-WEIGHT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weight_distribution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MEA (Gross/VGM)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C-ORDER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discharge_order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LOC (POD 순서)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C-VGM</w:t>
            </w:r>
          </w:p>
        </w:tc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vgm_verification</w:t>
            </w:r>
          </w:p>
        </w:tc>
        <w:tc>
          <w:tcPr>
            <w:tcW w:type="dxa" w:w="34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MEA (VGM)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7] COPRAR 규정 → 제약 노드 매핑 (RL 보상 R1~R15 및 검증 에이전트와 연결)</w:t>
      </w:r>
    </w:p>
    <w:p>
      <w:pPr>
        <w:pStyle w:val="Heading2"/>
      </w:pPr>
      <w:r>
        <w:t xml:space="preserve">6.4 text2Cypher 템플릿 (발췌)</w:t>
      </w:r>
    </w:p>
    <w:p>
      <w:pPr>
        <w:spacing w:after="120" w:line="300"/>
      </w:pPr>
      <w:r>
        <w:t xml:space="preserve">규정 근거 검색(Q1~Q5)과 운영 검증(Q6~Q7)을 cypher_templates.cypher로 제공한다.</w:t>
      </w:r>
    </w:p>
    <w:p>
      <w:pPr>
        <w:pBdr>
          <w:left w:val="single" w:color="2E75B6" w:sz="18" w:space="8"/>
        </w:pBdr>
        <w:shd w:fill="F4F6F9" w:val="clear"/>
        <w:spacing w:after="120"/>
      </w:pPr>
      <w:r>
        <w:rPr>
          <w:rFonts w:ascii="Consolas" w:cs="Consolas" w:eastAsia="Consolas" w:hAnsi="Consolas"/>
          <w:color w:val="1F3050"/>
          <w:sz w:val="18"/>
          <w:szCs w:val="18"/>
        </w:rPr>
        <w:t xml:space="preserve">// [Q1] 제약의 규정 근거 세그먼트 → 설명 그라운딩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MATCH (con:Constraint {type:$constraint_type})-[:SUPPORTED_BY]-&gt;(seg:Segment)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  -[:DESCRIBED_IN]-&gt;(d:Document)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RETURN con.rule_text, seg.title, seg.vector_ref AS chunk_id, seg.page;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// [Q6] 양하 순서 위반(오버스토우) + 근거 청크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MATCH (upper:Container)-[:STACKED_ON]-&gt;(lower:Container)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WHERE upper.pod_order &lt; lower.pod_order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MATCH (con:Constraint {type:'discharge_order'})-[:SUPPORTED_BY]-&gt;(seg:Segment)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RETURN lower.container_id AS blocked, upper.container_id AS blocker,</w:t>
      </w:r>
      <w:r>
        <w:br/>
      </w:r>
      <w:r>
        <w:rPr>
          <w:rFonts w:ascii="Consolas" w:cs="Consolas" w:eastAsia="Consolas" w:hAnsi="Consolas"/>
          <w:color w:val="1F3050"/>
          <w:sz w:val="18"/>
          <w:szCs w:val="18"/>
        </w:rPr>
        <w:t xml:space="preserve">       seg.vector_ref AS evidence_chunk;</w:t>
      </w:r>
    </w:p>
    <w:p>
      <w:r>
        <w:br w:type="page"/>
      </w:r>
    </w:p>
    <w:p>
      <w:pPr>
        <w:pStyle w:val="Heading1"/>
      </w:pPr>
      <w:r>
        <w:t xml:space="preserve">7. 통합 활용 시나리오</w:t>
      </w:r>
    </w:p>
    <w:p>
      <w:pPr>
        <w:spacing w:after="120" w:line="300"/>
      </w:pPr>
      <w:r>
        <w:t xml:space="preserve">다섯 산출물이 PortAgent 파이프라인에서 함께 동작하는 예시 — 운영자가 “이 DG 컨테이너를 왜 이 슬롯에 두면 안 되나?”를 질의한 경우: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L7 SLM: </w:t>
      </w:r>
      <w:r>
        <w:t xml:space="preserve">SFT(code_qa/edi_parse)로 학습된 PortSLM이 질의 의도를 파악하고 text2Cypher를 생성한다.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⑤ GraphRAG: </w:t>
      </w:r>
      <w:r>
        <w:t xml:space="preserve">Cypher(Q7)로 인접 슬롯 DG 상호반응을 탐지하고, Constraint C-DG의 SUPPORTED_BY로 근거 Segment(vector_ref) 획득.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④ 문서RAG: </w:t>
      </w:r>
      <w:r>
        <w:t xml:space="preserve">vector_ref(chunk_id)로 벡터DB에서 DGS 세그먼트 원문 청크를 조회.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L4 설명 에이전트: </w:t>
      </w:r>
      <w:r>
        <w:t xml:space="preserve">엔진 계획 + Cypher 사실 + 문서 근거를 융합해 “IMDG 등급 격리 위반(C-DG, high), 근거: DGS 규정”을 근거 인용 설명(xAI)으로 생성.</w:t>
      </w:r>
    </w:p>
    <w:p>
      <w:pPr>
        <w:pStyle w:val="Heading2"/>
      </w:pPr>
      <w:r>
        <w:t xml:space="preserve">7.1 산출물–아키텍처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L-레이어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chunks.jsonl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L1/L5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캐노니컬 청크 — 모든 하위 산출물의 단일 원천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sft.jsonl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L7 도메인 SLM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LoRA/QLoRA 파인튜닝 — 설명·NL2EDI·text2Cypher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vector_*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L5 문서 RAG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BGE-M3 임베딩 → 근거 검색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nodes/rels.csv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L2 온톨로지·KG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Neo4j 적재 — 구조·코드·제약 그래프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*.cypher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L5 GraphRAG</w:t>
            </w:r>
          </w:p>
        </w:tc>
        <w:tc>
          <w:tcPr>
            <w:tcW w:type="dxa" w:w="348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근거 경로·운영 검증 질의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8] 산출물–레이어 매핑</w:t>
      </w:r>
    </w:p>
    <w:p>
      <w:pPr>
        <w:pStyle w:val="Heading1"/>
      </w:pPr>
      <w:r>
        <w:t xml:space="preserve">8. 산출 파일 목록 및 다음 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A2E4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chunks/portslm_coprar_chunks.jsonl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구조 인지형 청크</w:t>
            </w:r>
          </w:p>
        </w:tc>
      </w:tr>
      <w:t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sft/portslm_coprar_sft.jsonl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 task SFT (chat+평면)</w:t>
            </w:r>
          </w:p>
        </w:tc>
      </w:tr>
      <w:t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embedding/vector_schema.json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벡터DB 컬렉션 스키마</w:t>
            </w:r>
          </w:p>
        </w:tc>
      </w:tr>
      <w:t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embedding/vector_records.jsonl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26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Chroma/pgvector 적재 레코드</w:t>
            </w:r>
          </w:p>
        </w:tc>
      </w:tr>
      <w:t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graphrag/nodes_*.csv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KG 노드 (203)</w:t>
            </w:r>
          </w:p>
        </w:tc>
      </w:tr>
      <w:t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graphrag/rels_*.csv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KG 엣지</w:t>
            </w:r>
          </w:p>
        </w:tc>
      </w:tr>
      <w:t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graphrag/cypher_templates.cypher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text2Cypher 템플릿</w:t>
            </w:r>
          </w:p>
        </w:tc>
      </w:tr>
      <w:tr>
        <w:tc>
          <w:tcPr>
            <w:tcW w:type="dxa" w:w="3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graphrag/neo4j_import.sh</w:t>
            </w:r>
          </w:p>
        </w:tc>
        <w:tc>
          <w:tcPr>
            <w:tcW w:type="dxa" w:w="11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86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70"/>
              <w:jc w:val="left"/>
            </w:pPr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Neo4j 적재 스크립트</w:t>
            </w:r>
          </w:p>
        </w:tc>
      </w:tr>
    </w:tbl>
    <w:p>
      <w:pPr>
        <w:spacing w:after="200" w:before="80"/>
        <w:jc w:val="center"/>
      </w:pPr>
      <w:r>
        <w:rPr>
          <w:i/>
          <w:iCs/>
          <w:color w:val="5A6B82"/>
          <w:sz w:val="18"/>
          <w:szCs w:val="18"/>
        </w:rPr>
        <w:t xml:space="preserve">[표 9] 산출 파일</w:t>
      </w:r>
    </w:p>
    <w:p>
      <w:pPr>
        <w:pStyle w:val="Heading2"/>
      </w:pPr>
      <w:r>
        <w:t xml:space="preserve">8.1 다음 단계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BAPLIE·MOVINS·COPINO 가이드 확보 시 동일 파이프라인으로 청킹·SFT·KG 확장(EDI 파서 일원화).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SFT를 task당 50~150건으로 증량하고 운영자 피드백 루프(DecisionLog)에서 재학습 데이터 축적.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Constraint 노드를 RL 보상 R1~R15 및 Cypher 검증 5종(DG·Reefer·OOG·중량·순서)과 정합 검증.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벡터DB 적재 후 RAGAS로 Top-k 관련 청크 포함률(목표 80%↑) 측정.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82"/>
        <w:sz w:val="16"/>
        <w:szCs w:val="16"/>
      </w:rPr>
      <w:t xml:space="preserve">PortAgent · COPRAR v2.3 기반 · </w:t>
    </w:r>
    <w:r>
      <w:rPr>
        <w:color w:val="5A6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jc w:val="right"/>
    </w:pPr>
    <w:r>
      <w:rPr>
        <w:color w:val="5A6B82"/>
        <w:sz w:val="16"/>
        <w:szCs w:val="16"/>
      </w:rPr>
      <w:t xml:space="preserve">PortSLM 통합 데이터 파이프라인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200" w:before="32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3345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a03b633024d01b9e16d43f6bcbbbb2187994ce.png"/><Relationship Id="rId10" Type="http://schemas.openxmlformats.org/officeDocument/2006/relationships/image" Target="media/8fa0c3c35d3400d0ddc4424c50f087329f85ae3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2026-06-13T06:35:50.655Z</dcterms:created>
  <dcterms:modified xsi:type="dcterms:W3CDTF">2026-06-13T06:35:50.655Z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