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100"/>
        <w:jc w:val="center"/>
      </w:pPr>
      <w:r>
        <w:rPr>
          <w:b/>
          <w:bCs/>
          <w:color w:val="1F3864"/>
          <w:sz w:val="40"/>
          <w:szCs w:val="40"/>
        </w:rPr>
        <w:t xml:space="preserve">PortAgent / PortSLM</w:t>
      </w:r>
    </w:p>
    <w:p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 xml:space="preserve">ISPS Code 통합 데이터 파이프라인 설계서</w:t>
      </w:r>
    </w:p>
    <w:p>
      <w:pPr>
        <w:spacing w:after="40"/>
        <w:jc w:val="center"/>
      </w:pPr>
      <w:r>
        <w:rPr>
          <w:color w:val="555555"/>
          <w:sz w:val="21"/>
          <w:szCs w:val="21"/>
        </w:rPr>
        <w:t xml:space="preserve">텍스트 추출 → 청킹 → SFT → Vector DB 임베딩 → GraphRAG 지식그래프</w:t>
      </w:r>
    </w:p>
    <w:p>
      <w:pPr>
        <w:spacing w:after="560"/>
        <w:jc w:val="center"/>
      </w:pPr>
      <w:r>
        <w:rPr>
          <w:color w:val="888888"/>
          <w:sz w:val="18"/>
          <w:szCs w:val="18"/>
        </w:rPr>
        <w:t xml:space="preserve">원문: IMO Maritime Security Manual (MSC 89/INF.13), ISPS Code companion  |  2026-06</w:t>
      </w:r>
    </w:p>
    <w:p>
      <w:pPr>
        <w:pBdr>
          <w:bottom w:val="single" w:color="2E75B6" w:sz="6" w:space="1"/>
        </w:pBdr>
      </w:pP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문서 구조 개요</w:t>
      </w:r>
    </w:p>
    <w:p>
      <w:pPr>
        <w:spacing w:after="120"/>
      </w:pPr>
      <w:r>
        <w:t xml:space="preserve">본 설계서는 IMO Maritime Security Manual(ISPS Code 동반 지침, 256p)을 PortSLM 구축 파이프라인 5단계로 통합 변환한 결과와 방법을 기술한다. ISPS 자료는 프로젝트의 6종 비정형 데이터 중 하나(ISPS Code/보안 절차)로, 보안 규정·책임주체·절차를 담아 SLM 설명 생성과 LPG 규정검증의 근거가 된다. BAPLIE 설계서와 동일한 5단계 포맷을 따르되, 기술 명세가 아닌 보안 규정 도메인 특성에 맞춰 청킹·그래프 모델을 설계했다.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 텍스트 추출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portslm_isps_fulltext.txt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pdftotext -layout, 헤더/푸터 정제 (약 67만 자)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 청킹 설계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portslm_isps_rag_index.jsonl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인식 + 문단누적 청킹 (816 청크)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 SFT 데이터셋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portslm_isps_sft.jsonl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조항 인용 기반 Q&amp;A (15: 개념/역할/관계)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④ 임베딩 스키마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portslm_isps_embeddings.npy + index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Vector DB 적재용 id/values/metadata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⑤ GraphRAG 그래프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portslm_isps_graphrag_schema.json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보안 규정-주체-절차 LPG, text2Cypher</w:t>
            </w:r>
          </w:p>
        </w:tc>
      </w:tr>
    </w:tbl>
    <w:p>
      <w:pPr>
        <w:pStyle w:val="Heading1"/>
      </w:pPr>
      <w:r>
        <w:t xml:space="preserve">1. 텍스트 추출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256p 텍스트 PDF를 pdftotext -layout로 추출 (스캔본 아님, 텍스트 레이어 보유).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반복 헤더/푸터(문서번호 'MSC 89/INF.13', 파일경로 'I:\MSC\...', 페이지번호) 정규식 제거.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조항 참조(A/7.2.4, §3.4.1)와 정의문은 보존 — SFT 인용과 그래프 추출의 핵심 근거.</w:t>
      </w:r>
    </w:p>
    <w:p>
      <w:pPr>
        <w:pStyle w:val="Heading1"/>
      </w:pPr>
      <w:r>
        <w:t xml:space="preserve">2. 청킹 설계</w:t>
      </w:r>
    </w:p>
    <w:p>
      <w:pPr>
        <w:spacing w:after="120"/>
      </w:pPr>
      <w:r>
        <w:t xml:space="preserve">ISPS 매뉴얼은 BAPLIE 같은 반복 세그먼트 구조가 아니라 산문 규정 문서다. 따라서 Section 경계를 메타데이터로 추적하면서 문단을 누적하는 구조 인식 청킹을 적용했다.</w:t>
      </w:r>
    </w:p>
    <w:p>
      <w:pPr>
        <w:pStyle w:val="Heading2"/>
      </w:pPr>
      <w:r>
        <w:t xml:space="preserve">2.1 청킹 규칙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'Section N' 정규식으로 5개 대섹션(서론/정부책임/항만시설책임/선박책임/평가프레임워크) 경계 추적.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각 청크에 section_no/section_title 메타데이터 부여 → 책임 주체별 검색 필터링 가능.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목표 1,200자 + 1문단 오버랩(문맥 연속성), 120자 미만 목차 잔여물 필터링 → 816 청크.</w:t>
      </w:r>
    </w:p>
    <w:p>
      <w:pPr>
        <w:pStyle w:val="Heading2"/>
      </w:pPr>
      <w:r>
        <w:t xml:space="preserve">2.2 청크 레코드 형식</w:t>
      </w:r>
    </w:p>
    <w:p>
      <w:pPr>
        <w:shd w:fill="FBEEDB" w:val="clear"/>
        <w:spacing w:after="80"/>
      </w:pPr>
      <w:r>
        <w:rPr>
          <w:rFonts w:ascii="Consolas" w:cs="Consolas" w:eastAsia="Consolas" w:hAnsi="Consolas"/>
          <w:sz w:val="16"/>
          <w:szCs w:val="16"/>
        </w:rPr>
        <w:t xml:space="preserve">{"id","metadata":{"doc_type":"ISPS_MANUAL","section_no","section_title","unit_type","char_len"},"text",...}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Section 분포: 서론 79, 정부책임 121, 항만시설책임 142, 선박책임 261, 평가프레임워크 234 등.</w:t>
      </w:r>
    </w:p>
    <w:p>
      <w:pPr>
        <w:pStyle w:val="Heading1"/>
      </w:pPr>
      <w:r>
        <w:t xml:space="preserve">3. JSONL SFT 데이터셋</w:t>
      </w:r>
    </w:p>
    <w:p>
      <w:pPr>
        <w:spacing w:after="120"/>
      </w:pPr>
      <w:r>
        <w:t xml:space="preserve">모든 답변을 실제 조항(§3.4.1, ISPS A/9.4.2 등)에 근거시켜 환각을 차단했다. 기존 10건(정의·역할·절차·평가)에 GraphRAG 관계 기반 5건(책임-절차-규정 트리플의 자연어화)을 추가하여 총 15건.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definition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DoS, 제한구역 정의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§3.4.1, A/9.4.2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 / liaison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PFSO/SSO/CSO 책임·임명근거·연락체계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A/11, A/12, A/17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security_level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보안등급 1·2·3 정의·발동조건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A/2.1.9-2.1.11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procedure / assessment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DoS 요청시점, 평가방법론 선택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§3.4, §5.2.9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graph_relation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책임-절차-규정 추적 (KG↔SLM 정합)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2-3</w:t>
            </w:r>
          </w:p>
        </w:tc>
      </w:tr>
    </w:tbl>
    <w:p>
      <w:pPr>
        <w:shd w:fill="FBEEDB" w:val="clear"/>
        <w:spacing w:after="80"/>
      </w:pPr>
      <w:r>
        <w:rPr>
          <w:rFonts w:ascii="Consolas" w:cs="Consolas" w:eastAsia="Consolas" w:hAnsi="Consolas"/>
          <w:sz w:val="16"/>
          <w:szCs w:val="16"/>
        </w:rPr>
        <w:t xml:space="preserve">{"messages":[...,{"role":"assistant","content":"...PFSO is responsible for access control... governed by ISPS A/17. (Source: Section 3; A/17.)"}],"meta":{"task":"graph_relation","citation":"A/17"}}</w:t>
      </w:r>
    </w:p>
    <w:p>
      <w:pPr>
        <w:pStyle w:val="Heading1"/>
      </w:pPr>
      <w:r>
        <w:t xml:space="preserve">4. Vector DB 적재용 임베딩 스키마</w:t>
      </w:r>
    </w:p>
    <w:p>
      <w:pPr>
        <w:spacing w:after="120"/>
      </w:pPr>
      <w:r>
        <w:t xml:space="preserve">BAPLIE와 동일한 범용 스키마로 통일하여 두 코퍼스를 단일 Vector DB에 함께 적재할 수 있다. 벡터는 .npy(행=values_ref)에 분리, 인덱스 JSONL은 id·values_ref·metadata·text를 담는다.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청크 고유 ID (isps_0000 …)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values_ref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embeddings.npy 행 인덱스 → 384차원 L2정규화 벡터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metadata.section_no / section_title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책임 주체별 필터링 (예: section_no='3' 항만시설)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metadata.doc_type='ISPS_MANUAL'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BAPLIE_MIG와 구분하여 도메인 라우팅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원문 청크 (재랭킹·인용 표시용)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임베딩 모델 주의: 환경 네트워크 제약으로 TF-IDF+SVD(LSA) 384차원 사용. 운영 환경에서 BGE-M3/multilingual-e5로 교체 권장(한국어 질의 품질). 검색 검증에서 'PFSO 책임'→Sec3, 'DoS 요건'→§3.4, '보안등급'→Sec2가 정확히 반환됨을 확인.</w:t>
      </w:r>
    </w:p>
    <w:p>
      <w:pPr>
        <w:pStyle w:val="Heading1"/>
      </w:pPr>
      <w:r>
        <w:t xml:space="preserve">5. GraphRAG 지식그래프 설계</w:t>
      </w:r>
    </w:p>
    <w:p>
      <w:pPr>
        <w:spacing w:after="120"/>
      </w:pPr>
      <w:r>
        <w:t xml:space="preserve">BAPLIE가 메시지 구조 그래프인 것과 달리, ISPS는 보안 규정 도메인 그래프다. 규정(Regulation)·책임주체(Actor)·계획문서(PlanDocument)·보안등급(SecurityLevel)·절차(Procedure)·개념(Concept)을 노드로 모델링했다.</w:t>
      </w:r>
    </w:p>
    <w:p>
      <w:pPr>
        <w:pStyle w:val="Heading2"/>
      </w:pPr>
      <w:r>
        <w:t xml:space="preserve">5.1 핵심 노드·관계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노드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속성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Regulation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ref(A/9.4.2), instrument, mandatory, title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role(PFSO/SSO/CSO), appointed_by, scope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PlanDocument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type(PFSP/SSP), approved_by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SecurityLevel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level(1/2/3), name, 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Procedure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name(Access Control…), section, applies_at_level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name(Declaration of Security), definition, ref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관계: RESPONSIBLE_FOR(Actor→Procedure), GOVERNED_BY(Procedure→Regulation), APPOINTED_UNDER(Actor→Regulation), DOCUMENTED_IN(Procedure→PlanDocument), LIAISES_WITH(Actor↔Actor), ESCALATES_AT(Procedure→SecurityLevel), REQUIRES_DOS(SecurityLevel→Concept), IDENTIFIED_IN(RestrictedArea→PlanDocument).</w:t>
      </w:r>
    </w:p>
    <w:p>
      <w:pPr>
        <w:pStyle w:val="Heading2"/>
      </w:pPr>
      <w:r>
        <w:t xml:space="preserve">5.2 원문 → 그래프 추출 규칙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역할 약어(PFSO/SSO/CSO)+appoint → Actor + APPOINTED_UNDER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조항 참조(A/x.y, §n.n) → Regulation + GOVERNED_BY/DEFINED_IN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'security level 1/2/3' → SecurityLevel + ESCALATES_AT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정의문('X means…','X is a written…') → Concept + DEFINED_IN</w:t>
      </w:r>
    </w:p>
    <w:p>
      <w:pPr>
        <w:pStyle w:val="Heading2"/>
      </w:pPr>
      <w:r>
        <w:t xml:space="preserve">5.3 text2Cypher 규정검증 예시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역할별 책임 절차와 근거 조항 조회 (SLM 설명 근거):</w:t>
      </w:r>
    </w:p>
    <w:p>
      <w:pPr>
        <w:shd w:fill="FBEEDB" w:val="clear"/>
        <w:spacing w:after="80"/>
      </w:pPr>
      <w:r>
        <w:rPr>
          <w:rFonts w:ascii="Consolas" w:cs="Consolas" w:eastAsia="Consolas" w:hAnsi="Consolas"/>
          <w:sz w:val="16"/>
          <w:szCs w:val="16"/>
        </w:rPr>
        <w:t xml:space="preserve">MATCH (a:Actor {role:'PFSO'})-[:RESPONSIBLE_FOR]-&gt;(p:Procedure)-[:GOVERNED_BY]-&gt;(r:Regulation)
RETURN p.name, collect(r.ref) AS basis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제한구역 접근통제의 근거 규정 추적:</w:t>
      </w:r>
    </w:p>
    <w:p>
      <w:pPr>
        <w:shd w:fill="FBEEDB" w:val="clear"/>
        <w:spacing w:after="80"/>
      </w:pPr>
      <w:r>
        <w:rPr>
          <w:rFonts w:ascii="Consolas" w:cs="Consolas" w:eastAsia="Consolas" w:hAnsi="Consolas"/>
          <w:sz w:val="16"/>
          <w:szCs w:val="16"/>
        </w:rPr>
        <w:t xml:space="preserve">MATCH (a:RestrictedArea)-[:IDENTIFIED_IN]-&gt;(pl:PlanDocument)&lt;-[:DOCUMENTED_IN]-(p:Procedure {name:'Access Control'})-[:GOVERNED_BY]-&gt;(r:Regulation)
RETURN p.name, r.ref, r.instrument</w:t>
      </w:r>
    </w:p>
    <w:p>
      <w:pPr>
        <w:pStyle w:val="Heading2"/>
      </w:pPr>
      <w:r>
        <w:t xml:space="preserve">5.4 BAPLIE 그래프와의 통합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ISPS의 Constraint 노드는 BAPLIE KG의 Slot/Container와 VIOLATES 관계로 연결되어 보안+적재 통합검증을 구성한다. 예: (:Slot)-[:VIOLATES]-&gt;(:Constraint {source:'ISPS A/9.4.2', description:'restricted area access'}). 이로써 RL 적재계획을 Constraint Validator(3번 에이전트)가 적재 규칙(BAPLIE)과 보안 규정(ISPS) 양쪽으로 검증하고 SLM이 설명(4번 에이전트)한다.</w:t>
      </w:r>
    </w:p>
    <w:p>
      <w:pPr>
        <w:pStyle w:val="Heading1"/>
      </w:pPr>
      <w:r>
        <w:t xml:space="preserve">6.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60"/>
        <w:gridCol w:w="1800"/>
      </w:tblGrid>
      <w:tr>
        <w:trPr>
          <w:tblHeader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portslm_isps_fulltext.txt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정제된 ISPS 전문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 67만 자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portslm_isps_rag_index.jsonl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Vector DB 스키마 인덱스 (재포맷)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816 청크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portslm_isps_embeddings.npy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정규화 임베딩 행렬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816 × 384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portslm_isps_sft.jsonl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조항 인용 기반 SFT (보강)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샘플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portslm_isps_graphrag_schema.json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보안 규정 LPG 스키마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노드8/관계10/규칙5/Cypher3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주의: 본 매뉴얼은 비강제 지침이므로 SLM 답변·LPG 검증에서 강제 조항(ISPS Part A, SOLAS XI-2)과 각국 법령이 우선함을 항상 병기한다.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1F7A6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2026-06-13T06:16:32.972Z</dcterms:created>
  <dcterms:modified xsi:type="dcterms:W3CDTF">2026-06-13T06:16:32.972Z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