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 xml:space="preserve">PortAgent 스마트항만 AI 연구 — 구조화 데이터 요청 명세서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(정형 데이터 9종 · 컨테이너 터미널 운영사 제출용)</w:t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프로젝트: 스마트 항만 물류를 위한 도메인 특화 SLM 및 강화학습 기반 Edge AI 멀티에이전트 아키텍처 개발</w:t>
      </w:r>
    </w:p>
    <w:p>
      <w:pPr>
        <w:pStyle w:val="Heading1"/>
      </w:pPr>
      <w:r>
        <w:t xml:space="preserve">1. 요청 개요</w:t>
      </w:r>
    </w:p>
    <w:p>
      <w:pPr>
        <w:spacing w:after="120" w:before="0"/>
      </w:pPr>
      <w:r>
        <w:rPr>
          <w:sz w:val="22"/>
          <w:szCs w:val="22"/>
        </w:rPr>
        <w:t xml:space="preserve">본 명세서는 PortAgent 연구개발을 위해 컨테이너 터미널 운영사에 요청하는 정형(구조화) 데이터 9종의 정의·형식·필드·우선순위를 정리한 것이다. 각 데이터셋은 캐노니컬 스키마를 거쳐 상태·온톨로지·적재엔진·평가 레이어의 입력으로 사용된다.</w:t>
      </w:r>
    </w:p>
    <w:p>
      <w:pPr>
        <w:spacing w:after="120" w:before="0"/>
      </w:pPr>
      <w:r>
        <w:rPr>
          <w:sz w:val="22"/>
          <w:szCs w:val="22"/>
        </w:rPr>
        <w:t xml:space="preserve">제출 시 각 데이터셋별로 ① 포맷·스키마 ② 샘플 1건 ③ 기간 ④ 비식별 범위 ⑤ 데이터 사전 ⑥ 갱신 주기를 함께 제공해 주시기를 요청드린다(아래 3장).</w:t>
      </w:r>
    </w:p>
    <w:p>
      <w:pPr>
        <w:pStyle w:val="Heading1"/>
      </w:pPr>
      <w:r>
        <w:t xml:space="preserve">2. 데이터셋별 요청 명세 (정형 9종)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800"/>
        <w:gridCol w:w="30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요청 형식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필드(예시)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버전·비고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Vessel Call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정형(운영)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/ DB export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vessel_id, vessel_name, voyage, berth, eta, ata, atd, moves_in, moves_out, loa, beam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기간(최소 6개월~1년), 선석 코드 정의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Bay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정형(구조)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EDI(BAPLIE) 또는 CSV + 그래픽(PDF/PNG)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vessel_id, bay, row, tier, slot, container_id, size_type, weight, pod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선박별 1척 샘플, 슬롯 좌표 체계 설명서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BAPLIE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정형(EDI)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UN/EDIFACT (.edi) 텍스트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UNB/UNH 헤더, LOC(위치), EQD(장비), MEA(중량), DGS(위험물), 차항/전항 정보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★버전 필수 확인 (권장 3.0 / D.13B 이후, 2.x는 deprecated)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COPRAR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정형(EDI)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UN/EDIFACT (.edi) 텍스트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양하/적하 작업지시, 컨테이너 목록, 본선·터미널 식별, TDT/LOC 세그먼트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load/discharge 구분, SMDG 버전(D.00B 등) 명시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MOVINS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정형(EDI)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UN/EDIFACT (.edi) 텍스트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적재 순서, 계획 적재 위치, 세그리게이션 지시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BAPLIE/COPRAR와 동일 항차 매칭본 권장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Yard Inventory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정형(운영)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/ DB export (스냅샷)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container_id, yard_slot(블록-베이-로우-티어), size_type, weight, pod, reefer, dg, oog, stacked_on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★스냅샷 시점 명시, 재취급(상하 적재) 관계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Gate Transaction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정형(운영)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/ DB export (이벤트 로그)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container_id, gate_in_time, gate_out_time, truck_id, direction(in/out), chassis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PII(차량·기사) 비식별 처리 범위 합의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Equipment Operation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정형(운영)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/ DB export (이벤트 로그)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equip_id, equip_type(QC/RTG/RMG), move_type, from_slot, to_slot, container_id, start_ts, end_ts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★재취급(rehandling) 카운트 산출 가능하도록 move_type 코드표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정형(스트림)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/ NMEA / 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mmsi, imo, timestamp, lat, lon, sog, cog, heading, nav_status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대상 해역·기간, 또는 공개 소스(MarineCadastre) 대체 가능</w:t>
            </w:r>
          </w:p>
        </w:tc>
      </w:tr>
    </w:tbl>
    <w:p>
      <w:pPr>
        <w:spacing w:after="120" w:before="120"/>
      </w:pPr>
      <w:r>
        <w:rPr>
          <w:i/>
          <w:iCs/>
          <w:color w:val="777777"/>
          <w:sz w:val="18"/>
          <w:szCs w:val="18"/>
        </w:rPr>
        <w:t xml:space="preserve">★ 표시: Tier 1 핵심 데이터(RL 모델 구동·평가에 직접 사용). EDI 3종(BAPLIE/COPRAR/MOVINS)은 EDIFACT 파서가 필요하므로 버전 확인이 필수.</w:t>
      </w:r>
    </w:p>
    <w:p>
      <w:pPr>
        <w:pStyle w:val="Heading1"/>
      </w:pPr>
      <w:r>
        <w:t xml:space="preserve">3. 데이터셋별 공통 제출 항목 (체크리스트)</w:t>
      </w:r>
    </w:p>
    <w:p>
      <w:pPr>
        <w:spacing w:after="120" w:before="0"/>
      </w:pPr>
      <w:r>
        <w:rPr>
          <w:sz w:val="22"/>
          <w:szCs w:val="22"/>
        </w:rPr>
        <w:t xml:space="preserve">도착 즉시 파싱 가능하도록, 위 9종 각각에 대해 아래 6개 항목을 함께 제출해 주시기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180"/>
      </w:tblGrid>
      <w:tr>
        <w:trPr>
          <w:tblHeader/>
        </w:trP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요청 항목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포맷·스키마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 버전(BAPLIE 3.0 등) 또는 CSV 헤더 정의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 1건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각 데이터셋별 실제 레코드 1건(가명/비식별)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 추출 대상 기간(예: 2025-01~2025-12)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비식별 범위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PII·영업민감 정보의 마스킹/가명 처리 기준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사전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필드명·자료형·코드값 의미 정의서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1회성 추출 / 일·주 단위 정기 제공 여부</w:t>
            </w:r>
          </w:p>
        </w:tc>
      </w:tr>
    </w:tbl>
    <w:p>
      <w:pPr>
        <w:pStyle w:val="Heading1"/>
      </w:pPr>
      <w:r>
        <w:t xml:space="preserve">4. 도착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0"/>
        <w:gridCol w:w="3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Yard Inventory ★, BAPLIE ★, Bay Plan, COPRAR/MOVINS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RL 적재 모델 구동·평가의 직접 입력·정답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Equipment Operation ★, Vessel Call History, Gate Transaction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재취급 실측 검증, 시뮬 시드, 처리량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 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입항 예측·실시간 상태(공개 소스 대체 가능)</w:t>
            </w:r>
          </w:p>
        </w:tc>
      </w:tr>
    </w:tbl>
    <w:p>
      <w:pPr>
        <w:pStyle w:val="Heading1"/>
      </w:pPr>
      <w:r>
        <w:t xml:space="preserve">5. 데이터 거버넌스 요청 사항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민감 데이터(BAPLIE·Gate PII 등)는 가명/비식별 처리 후 제공, 접근통제 폴더에서만 취급.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공유 샘플은 가명 또는 합성 데이터로 제공, 실데이터는 별도 보안 채널로 전달.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협약(NDA) 범위 내 사용, 연구 목적 외 사용·재배포 금지.</w:t>
      </w:r>
    </w:p>
    <w:p>
      <w:pPr>
        <w:pStyle w:val="Heading1"/>
      </w:pPr>
      <w:r>
        <w:t xml:space="preserve">6. 공개 유사자료 출처 (실데이터 도착 전 대체)</w:t>
      </w:r>
    </w:p>
    <w:p>
      <w:pPr>
        <w:spacing w:after="120" w:before="0"/>
      </w:pPr>
      <w:r>
        <w:rPr>
          <w:sz w:val="22"/>
          <w:szCs w:val="22"/>
        </w:rPr>
        <w:t xml:space="preserve">운영사 실데이터 도착 전, 아래 공개 자료로 표준 구조 학습 및 파서 개발을 선행할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공개 출처 / 링크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BAPLIE/MOVINS 표준·MIG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smdg.org/working-groups/baplie-movins/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SMDG 공식, 무료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BAPLIE 메시지 정의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service.unece.org/trade/untdid/d17a/trmd/baplie_c.htm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UN/EDIFACT D.17A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COPRAR User Guide(샘플)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valenciaportpcs.com (COPRAR EDIFACT Guide PDF)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실제 메시지 예시 포함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AIS 대량 다운로드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hub.marinecadastre.gov / coast.noaa.gov/digitalcoast/tools/ais.html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미국 NOAA/USCG, CC0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AIS 실시간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aishub.net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데이터 공유 가입 필요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야드·게이트·장비·콜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공개본 없음 → 합성 데이터 생성 또는 항만 통계 근사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프로젝트 시뮬 방침과 일치</w:t>
            </w:r>
          </w:p>
        </w:tc>
      </w:tr>
    </w:tbl>
    <w:p>
      <w:pPr>
        <w:spacing w:after="120" w:before="120"/>
      </w:pPr>
      <w:r>
        <w:rPr>
          <w:i/>
          <w:iCs/>
          <w:color w:val="777777"/>
          <w:sz w:val="18"/>
          <w:szCs w:val="18"/>
        </w:rPr>
        <w:t xml:space="preserve">Vessel Call·Yard·Gate·Equipment 4종은 공개 데이터셋이 사실상 없으므로, 선박제원·본선 플래닝 기준 기반 합성 데이터 생성으로 대체하고 어댑터 패턴으로 실데이터 도착 시 교체한다.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2026-06-07T05:15:57.486Z</dcterms:created>
  <dcterms:modified xsi:type="dcterms:W3CDTF">2026-06-07T05:15:57.486Z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