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A2E4A"/>
          <w:sz w:val="52"/>
          <w:szCs w:val="52"/>
        </w:rPr>
        <w:t xml:space="preserve">PortSLM 통합 데이터 파이프라인 설계서</w:t>
      </w:r>
    </w:p>
    <w:p>
      <w:pPr>
        <w:spacing w:before="240"/>
        <w:jc w:val="center"/>
      </w:pPr>
      <w:r>
        <w:rPr>
          <w:color w:val="2E75B6"/>
          <w:sz w:val="26"/>
          <w:szCs w:val="26"/>
        </w:rPr>
        <w:t xml:space="preserve">SOLAS 협약 문서 → 청킹 → SFT → 임베딩 → GraphRAG 일괄 활용</w:t>
      </w:r>
    </w:p>
    <w:p>
      <w:pPr>
        <w:spacing w:before="120"/>
        <w:jc w:val="center"/>
      </w:pPr>
      <w:r>
        <w:rPr>
          <w:color w:val="5A6B82"/>
          <w:sz w:val="22"/>
          <w:szCs w:val="22"/>
        </w:rPr>
        <w:t xml:space="preserve">항만 안전 규정 근거 RAG · 복원성·적부 제약 설명 데이터 구축</w:t>
      </w:r>
    </w:p>
    <w:p>
      <w:pPr>
        <w:spacing w:before="800"/>
        <w:jc w:val="center"/>
      </w:pPr>
      <w:r>
        <w:rPr>
          <w:color w:val="33455E"/>
          <w:sz w:val="20"/>
          <w:szCs w:val="20"/>
        </w:rPr>
        <w:t xml:space="preserve">PortAgent / PortAgent-RLGraph · SNCT 컨테이너터미널 의사결정 지원 플랫폼</w:t>
      </w:r>
    </w:p>
    <w:p>
      <w:pPr>
        <w:spacing w:before="120"/>
        <w:jc w:val="center"/>
      </w:pPr>
      <w:r>
        <w:rPr>
          <w:color w:val="5A6B82"/>
          <w:sz w:val="16"/>
          <w:szCs w:val="16"/>
        </w:rPr>
        <w:t xml:space="preserve">원천: Focus on IMO — SOLAS 1974 (IMO, October 1998) · 표준: SOLAS 1974 (as amended)</w:t>
      </w:r>
    </w:p>
    <w:p>
      <w:r>
        <w:br w:type="page"/>
      </w:r>
    </w:p>
    <w:p>
      <w:pPr>
        <w:pStyle w:val="Heading1"/>
      </w:pPr>
      <w: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개요 및 설계 목표</w:t>
      </w:r>
    </w:p>
    <w:p>
      <w:pPr>
        <w:spacing w:after="120" w:line="300"/>
      </w:pPr>
      <w:r>
        <w:t xml:space="preserve">본 문서는 </w:t>
      </w:r>
      <w:r>
        <w:rPr>
          <w:b/>
          <w:bCs/>
        </w:rPr>
        <w:t xml:space="preserve">Focus on IMO — SOLAS 1974</w:t>
      </w:r>
      <w:r>
        <w:t xml:space="preserve">(IMO, 1998) 문서를 단일 원천으로, 항만 특화 SLM(PortSLM) 파인튜닝과 RAG Agent가 함께 사용할 5개 산출물을 일관된 키 체계로 생성하는 파이프라인을 정의한다. PortAgent 데이터 요청서에서 SOLAS는 비정형 6종 중 하나이며, 프로젝트 아키텍처상 </w:t>
      </w:r>
      <w:r>
        <w:rPr>
          <w:b/>
          <w:bCs/>
        </w:rPr>
        <w:t xml:space="preserve">L5 RAG 근거 + L3 복원성·중량 제약 근거(공개 데이터)</w:t>
      </w:r>
      <w:r>
        <w:t xml:space="preserve">로 활용된다.</w:t>
      </w:r>
    </w:p>
    <w:p>
      <w:pPr>
        <w:spacing w:after="120" w:line="300"/>
      </w:pPr>
      <w:r>
        <w:rPr>
          <w:b/>
          <w:bCs/>
        </w:rPr>
        <w:t xml:space="preserve">COPRAR와의 차이: </w:t>
      </w:r>
      <w:r>
        <w:t xml:space="preserve">COPRAR가 EDIFACT 세그먼트 구조였다면, SOLAS는 협약 章(Chapter)과 연도별 개정(Amendment)의 이중 구조이며, 각 개정은 종종 실제 해난사고(Titanic·Herald·Estonia 등)를 계기로 한다. 따라서 청킹·KG를 이 특성에 맞춰 章·개정·계기 사건을 노드로 분리했다. 다만 산출물 종류·키 일관성·규정 인용 그라운딩 원칙은 COPRAR 작업과 동일하게 유지해 두 데이터셋이 같은 벡터DB·KG에 통합 적재되도록 했다.</w:t>
      </w:r>
    </w:p>
    <w:p>
      <w:pPr>
        <w:spacing w:after="120" w:line="300"/>
      </w:pPr>
      <w:r>
        <w:t xml:space="preserve">설계 원칙:</w:t>
      </w:r>
    </w:p>
    <w:p>
      <w:pPr>
        <w:pStyle w:val="ListParagraph"/>
        <w:numPr>
          <w:ilvl w:val="0"/>
          <w:numId w:val="2"/>
        </w:numPr>
        <w:spacing w:after="60" w:line="290"/>
      </w:pPr>
      <w:r>
        <w:rPr>
          <w:b/>
          <w:bCs/>
        </w:rPr>
        <w:t xml:space="preserve">단일 소스·다중 산출: </w:t>
      </w:r>
      <w:r>
        <w:t xml:space="preserve">문서를 章·개정 단위로 청킹한 뒤 동일 청크를 SFT·벡터DB·KG가 공유한다.</w:t>
      </w:r>
    </w:p>
    <w:p>
      <w:pPr>
        <w:pStyle w:val="ListParagraph"/>
        <w:numPr>
          <w:ilvl w:val="0"/>
          <w:numId w:val="2"/>
        </w:numPr>
        <w:spacing w:after="60" w:line="290"/>
      </w:pPr>
      <w:r>
        <w:rPr>
          <w:b/>
          <w:bCs/>
        </w:rPr>
        <w:t xml:space="preserve">키 일관성: </w:t>
      </w:r>
      <w:r>
        <w:t xml:space="preserve">chunk_id를 벡터DB id이자 KG EvidenceChunk.vector_ref로 동일하게 사용한다.</w:t>
      </w:r>
    </w:p>
    <w:p>
      <w:pPr>
        <w:pStyle w:val="ListParagraph"/>
        <w:numPr>
          <w:ilvl w:val="0"/>
          <w:numId w:val="2"/>
        </w:numPr>
        <w:spacing w:after="60" w:line="290"/>
      </w:pPr>
      <w:r>
        <w:rPr>
          <w:b/>
          <w:bCs/>
        </w:rPr>
        <w:t xml:space="preserve">역할 구분: </w:t>
      </w:r>
      <w:r>
        <w:t xml:space="preserve">SOLAS는 “왜 안전한가/안전 근거” 설명용이다. 구체 적재 결정은 IMDG·터미널 SOP·운영 엔진의 몫이며, SFT system 프롬프트가 이를 명시한다.</w:t>
      </w:r>
    </w:p>
    <w:p>
      <w:pPr>
        <w:pStyle w:val="ListParagraph"/>
        <w:numPr>
          <w:ilvl w:val="0"/>
          <w:numId w:val="2"/>
        </w:numPr>
        <w:spacing w:after="60" w:line="290"/>
      </w:pPr>
      <w:r>
        <w:rPr>
          <w:b/>
          <w:bCs/>
        </w:rPr>
        <w:t xml:space="preserve">인과 보존: </w:t>
      </w:r>
      <w:r>
        <w:t xml:space="preserve">개정→章, 개정→계기 사건 관계를 KG에 보존해 “이 규정이 왜 생겼는가”를 추적 가능하게 한다.</w:t>
      </w:r>
    </w:p>
    <w:p>
      <w:pPr>
        <w:pStyle w:val="Heading2"/>
      </w:pPr>
      <w:r>
        <w:t xml:space="preserve">1.1 파이프라인 전경</w:t>
      </w:r>
    </w:p>
    <w:p>
      <w:pPr>
        <w:spacing w:after="4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spacing w:after="200" w:before="80"/>
        <w:jc w:val="center"/>
      </w:pPr>
      <w:r>
        <w:rPr>
          <w:i/>
          <w:iCs/>
          <w:color w:val="5A6B82"/>
          <w:sz w:val="18"/>
          <w:szCs w:val="18"/>
        </w:rPr>
        <w:t xml:space="preserve">[그림 1] SOLAS 문서 → PortSLM 5단계 통합 데이터 파이프라인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2850"/>
        <w:gridCol w:w="1960"/>
      </w:tblGrid>
      <w:tr>
        <w:trPr>
          <w:tblHeader/>
        </w:trPr>
        <w:tc>
          <w:tcPr>
            <w:tcW w:type="dxa" w:w="15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단계</w:t>
            </w:r>
          </w:p>
        </w:tc>
        <w:tc>
          <w:tcPr>
            <w:tcW w:type="dxa" w:w="305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산출물(파일)</w:t>
            </w:r>
          </w:p>
        </w:tc>
        <w:tc>
          <w:tcPr>
            <w:tcW w:type="dxa" w:w="285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내용</w:t>
            </w:r>
          </w:p>
        </w:tc>
        <w:tc>
          <w:tcPr>
            <w:tcW w:type="dxa" w:w="196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소비 레이어</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① 구조 분석</w:t>
            </w:r>
          </w:p>
        </w:tc>
        <w:tc>
          <w:tcPr>
            <w:tcW w:type="dxa" w:w="305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(중간 산출)</w:t>
            </w:r>
          </w:p>
        </w:tc>
        <w:tc>
          <w:tcPr>
            <w:tcW w:type="dxa" w:w="285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章·개정·계기 사건·발효일 추출</w:t>
            </w:r>
          </w:p>
        </w:tc>
        <w:tc>
          <w:tcPr>
            <w:tcW w:type="dxa" w:w="19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w:t>
            </w:r>
          </w:p>
        </w:tc>
      </w:tr>
      <w:tr>
        <w:tc>
          <w:tcPr>
            <w:tcW w:type="dxa" w:w="15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② 청킹</w:t>
            </w:r>
          </w:p>
        </w:tc>
        <w:tc>
          <w:tcPr>
            <w:tcW w:type="dxa" w:w="305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chunks/solas_chunks.jsonl (29)</w:t>
            </w:r>
          </w:p>
        </w:tc>
        <w:tc>
          <w:tcPr>
            <w:tcW w:type="dxa" w:w="285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章/개정/개념 청크 + 메타데이터</w:t>
            </w:r>
          </w:p>
        </w:tc>
        <w:tc>
          <w:tcPr>
            <w:tcW w:type="dxa" w:w="19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②→④⑤</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③ SFT</w:t>
            </w:r>
          </w:p>
        </w:tc>
        <w:tc>
          <w:tcPr>
            <w:tcW w:type="dxa" w:w="305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sft/solas_sft.jsonl (17)</w:t>
            </w:r>
          </w:p>
        </w:tc>
        <w:tc>
          <w:tcPr>
            <w:tcW w:type="dxa" w:w="285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6 task, 章·규칙 인용</w:t>
            </w:r>
          </w:p>
        </w:tc>
        <w:tc>
          <w:tcPr>
            <w:tcW w:type="dxa" w:w="19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L7 SLM</w:t>
            </w:r>
          </w:p>
        </w:tc>
      </w:tr>
      <w:tr>
        <w:tc>
          <w:tcPr>
            <w:tcW w:type="dxa" w:w="15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④ 임베딩</w:t>
            </w:r>
          </w:p>
        </w:tc>
        <w:tc>
          <w:tcPr>
            <w:tcW w:type="dxa" w:w="305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vector_schema.json / vector_records.jsonl</w:t>
            </w:r>
          </w:p>
        </w:tc>
        <w:tc>
          <w:tcPr>
            <w:tcW w:type="dxa" w:w="285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BGE-M3 1024d, Chroma/pgvector</w:t>
            </w:r>
          </w:p>
        </w:tc>
        <w:tc>
          <w:tcPr>
            <w:tcW w:type="dxa" w:w="19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L5 문서RAG</w:t>
            </w:r>
          </w:p>
        </w:tc>
      </w:tr>
      <w:tr>
        <w:tc>
          <w:tcPr>
            <w:tcW w:type="dxa" w:w="15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⑤ GraphRAG</w:t>
            </w:r>
          </w:p>
        </w:tc>
        <w:tc>
          <w:tcPr>
            <w:tcW w:type="dxa" w:w="305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nodes_*.csv / rels_*.csv / *.cypher</w:t>
            </w:r>
          </w:p>
        </w:tc>
        <w:tc>
          <w:tcPr>
            <w:tcW w:type="dxa" w:w="285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Neo4j 노드 76·엣지 7종·Cypher</w:t>
            </w:r>
          </w:p>
        </w:tc>
        <w:tc>
          <w:tcPr>
            <w:tcW w:type="dxa" w:w="19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L3/L5 KG</w:t>
            </w:r>
          </w:p>
        </w:tc>
      </w:tr>
    </w:tbl>
    <w:p>
      <w:pPr>
        <w:spacing w:after="200" w:before="80"/>
        <w:jc w:val="center"/>
      </w:pPr>
      <w:r>
        <w:rPr>
          <w:i/>
          <w:iCs/>
          <w:color w:val="5A6B82"/>
          <w:sz w:val="18"/>
          <w:szCs w:val="18"/>
        </w:rPr>
        <w:t xml:space="preserve">[표 1] 5단계 산출물 요약</w:t>
      </w:r>
    </w:p>
    <w:p>
      <w:r>
        <w:br w:type="page"/>
      </w:r>
    </w:p>
    <w:p>
      <w:pPr>
        <w:pStyle w:val="Heading1"/>
      </w:pPr>
      <w:r>
        <w:t xml:space="preserve">2. 문서 구조 분석 (① 단계)</w:t>
      </w:r>
    </w:p>
    <w:p>
      <w:pPr>
        <w:spacing w:after="120" w:line="300"/>
      </w:pPr>
      <w:r>
        <w:t xml:space="preserve">SOLAS는 두 개의 직교 축으로 읽힌다. (a) 협약의 정적 구조인 章(Chapter I~XII), (b) 시간 축의 개정 이력. 이 이중 축을 청킹·KG의 1차 경계로 삼고, 각 개정의 계기 사건과 발효일을 별도 메타데이터로 보존한다.</w:t>
      </w:r>
    </w:p>
    <w:p>
      <w:pPr>
        <w:pStyle w:val="Heading2"/>
      </w:pPr>
      <w:r>
        <w:t xml:space="preserve">2.1 章(Chapter) 구조 — 항만 적재 관련도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2900"/>
        <w:gridCol w:w="1260"/>
      </w:tblGrid>
      <w:tr>
        <w:trPr>
          <w:tblHeader/>
        </w:trPr>
        <w:tc>
          <w:tcPr>
            <w:tcW w:type="dxa" w:w="13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章</w:t>
            </w:r>
          </w:p>
        </w:tc>
        <w:tc>
          <w:tcPr>
            <w:tcW w:type="dxa" w:w="39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핵심 내용</w:t>
            </w:r>
          </w:p>
        </w:tc>
        <w:tc>
          <w:tcPr>
            <w:tcW w:type="dxa" w:w="29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항만 적재 연계</w:t>
            </w:r>
          </w:p>
        </w:tc>
        <w:tc>
          <w:tcPr>
            <w:tcW w:type="dxa" w:w="126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관련도</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I</w:t>
            </w:r>
          </w:p>
        </w:tc>
        <w:tc>
          <w:tcPr>
            <w:tcW w:type="dxa" w:w="3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검사·증서·항만국통제(PSC)</w:t>
            </w:r>
          </w:p>
        </w:tc>
        <w:tc>
          <w:tcPr>
            <w:tcW w:type="dxa" w:w="2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증서·PSC 점검 맥락</w:t>
            </w:r>
          </w:p>
        </w:tc>
        <w:tc>
          <w:tcPr>
            <w:tcW w:type="dxa" w:w="1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중</w:t>
            </w:r>
          </w:p>
        </w:tc>
      </w:tr>
      <w:tr>
        <w:tc>
          <w:tcPr>
            <w:tcW w:type="dxa" w:w="13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II-1</w:t>
            </w:r>
          </w:p>
        </w:tc>
        <w:tc>
          <w:tcPr>
            <w:tcW w:type="dxa" w:w="3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구획·복원성·기관·전기</w:t>
            </w:r>
          </w:p>
        </w:tc>
        <w:tc>
          <w:tcPr>
            <w:tcW w:type="dxa" w:w="2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중량분포·heavy-down 근거</w:t>
            </w:r>
          </w:p>
        </w:tc>
        <w:tc>
          <w:tcPr>
            <w:tcW w:type="dxa" w:w="12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높음</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II-2</w:t>
            </w:r>
          </w:p>
        </w:tc>
        <w:tc>
          <w:tcPr>
            <w:tcW w:type="dxa" w:w="3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화재 방호·탐지·소화</w:t>
            </w:r>
          </w:p>
        </w:tc>
        <w:tc>
          <w:tcPr>
            <w:tcW w:type="dxa" w:w="2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DG·발화 위험 맥락</w:t>
            </w:r>
          </w:p>
        </w:tc>
        <w:tc>
          <w:tcPr>
            <w:tcW w:type="dxa" w:w="1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중</w:t>
            </w:r>
          </w:p>
        </w:tc>
      </w:tr>
      <w:tr>
        <w:tc>
          <w:tcPr>
            <w:tcW w:type="dxa" w:w="13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III</w:t>
            </w:r>
          </w:p>
        </w:tc>
        <w:tc>
          <w:tcPr>
            <w:tcW w:type="dxa" w:w="3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구명설비(LSA Code)</w:t>
            </w:r>
          </w:p>
        </w:tc>
        <w:tc>
          <w:tcPr>
            <w:tcW w:type="dxa" w:w="2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w:t>
            </w:r>
          </w:p>
        </w:tc>
        <w:tc>
          <w:tcPr>
            <w:tcW w:type="dxa" w:w="12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낮음</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IV</w:t>
            </w:r>
          </w:p>
        </w:tc>
        <w:tc>
          <w:tcPr>
            <w:tcW w:type="dxa" w:w="3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무선통신(GMDSS)</w:t>
            </w:r>
          </w:p>
        </w:tc>
        <w:tc>
          <w:tcPr>
            <w:tcW w:type="dxa" w:w="2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w:t>
            </w:r>
          </w:p>
        </w:tc>
        <w:tc>
          <w:tcPr>
            <w:tcW w:type="dxa" w:w="1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낮음</w:t>
            </w:r>
          </w:p>
        </w:tc>
      </w:tr>
      <w:tr>
        <w:tc>
          <w:tcPr>
            <w:tcW w:type="dxa" w:w="13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V</w:t>
            </w:r>
          </w:p>
        </w:tc>
        <w:tc>
          <w:tcPr>
            <w:tcW w:type="dxa" w:w="3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항행 안전(VTS·routeing)</w:t>
            </w:r>
          </w:p>
        </w:tc>
        <w:tc>
          <w:tcPr>
            <w:tcW w:type="dxa" w:w="2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입출항 맥락</w:t>
            </w:r>
          </w:p>
        </w:tc>
        <w:tc>
          <w:tcPr>
            <w:tcW w:type="dxa" w:w="12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중</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VI</w:t>
            </w:r>
          </w:p>
        </w:tc>
        <w:tc>
          <w:tcPr>
            <w:tcW w:type="dxa" w:w="3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화물 운송·적부·고박</w:t>
            </w:r>
          </w:p>
        </w:tc>
        <w:tc>
          <w:tcPr>
            <w:tcW w:type="dxa" w:w="2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적부·고박·CSS 근거</w:t>
            </w:r>
          </w:p>
        </w:tc>
        <w:tc>
          <w:tcPr>
            <w:tcW w:type="dxa" w:w="1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높음</w:t>
            </w:r>
          </w:p>
        </w:tc>
      </w:tr>
      <w:tr>
        <w:tc>
          <w:tcPr>
            <w:tcW w:type="dxa" w:w="13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VII</w:t>
            </w:r>
          </w:p>
        </w:tc>
        <w:tc>
          <w:tcPr>
            <w:tcW w:type="dxa" w:w="3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위험물 운송(IMDG)</w:t>
            </w:r>
          </w:p>
        </w:tc>
        <w:tc>
          <w:tcPr>
            <w:tcW w:type="dxa" w:w="2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DG 분류·목록·보고</w:t>
            </w:r>
          </w:p>
        </w:tc>
        <w:tc>
          <w:tcPr>
            <w:tcW w:type="dxa" w:w="12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높음</w:t>
            </w:r>
          </w:p>
        </w:tc>
      </w:tr>
      <w:tr>
        <w:tc>
          <w:tcPr>
            <w:tcW w:type="dxa" w:w="13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XII</w:t>
            </w:r>
          </w:p>
        </w:tc>
        <w:tc>
          <w:tcPr>
            <w:tcW w:type="dxa" w:w="3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산적화물선 추가 안전</w:t>
            </w:r>
          </w:p>
        </w:tc>
        <w:tc>
          <w:tcPr>
            <w:tcW w:type="dxa" w:w="2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중량화물 밀도·화물창 강도</w:t>
            </w:r>
          </w:p>
        </w:tc>
        <w:tc>
          <w:tcPr>
            <w:tcW w:type="dxa" w:w="1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높음</w:t>
            </w:r>
          </w:p>
        </w:tc>
      </w:tr>
    </w:tbl>
    <w:p>
      <w:pPr>
        <w:spacing w:after="200" w:before="80"/>
        <w:jc w:val="center"/>
      </w:pPr>
      <w:r>
        <w:rPr>
          <w:i/>
          <w:iCs/>
          <w:color w:val="5A6B82"/>
          <w:sz w:val="18"/>
          <w:szCs w:val="18"/>
        </w:rPr>
        <w:t xml:space="preserve">[표 2] 주요 章과 항만 적재 관련도 (port_relevance)</w:t>
      </w:r>
    </w:p>
    <w:p>
      <w:pPr>
        <w:spacing w:after="120" w:line="300"/>
      </w:pPr>
      <w:r>
        <w:rPr>
          <w:b/>
          <w:bCs/>
        </w:rPr>
        <w:t xml:space="preserve">활용 의도: </w:t>
      </w:r>
      <w:r>
        <w:t xml:space="preserve">port_relevance=high인 章(II-1·VI·VII·XII)은 PortAgent의 복원성·적부·위험물·중량 제약 설명의 1차 근거 후보다. 벡터 검색 시 이 태그로 사전 필터링해 적재 무관 규정(III·IV 등)의 노이즈를 줄인다.</w:t>
      </w:r>
    </w:p>
    <w:p>
      <w:pPr>
        <w:pStyle w:val="Heading2"/>
      </w:pPr>
      <w:r>
        <w:t xml:space="preserve">2.2 개정 이력 — 계기 사건</w:t>
      </w:r>
    </w:p>
    <w:p>
      <w:pPr>
        <w:spacing w:after="120" w:line="300"/>
      </w:pPr>
      <w:r>
        <w:t xml:space="preserve">SOLAS 개정의 상당수는 실제 해난사고를 계기로 한다. 이 인과는 “규정의 존재 이유”를 설명하는 강력한 근거이므로 KG에 Event 노드로 보존했다.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계기 사건</w:t>
            </w:r>
          </w:p>
        </w:tc>
        <w:tc>
          <w:tcPr>
            <w:tcW w:type="dxa" w:w="14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연도</w:t>
            </w:r>
          </w:p>
        </w:tc>
        <w:tc>
          <w:tcPr>
            <w:tcW w:type="dxa" w:w="536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결과 개정</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Titanic 침몰</w:t>
            </w:r>
          </w:p>
        </w:tc>
        <w:tc>
          <w:tcPr>
            <w:tcW w:type="dxa" w:w="1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1912</w:t>
            </w:r>
          </w:p>
        </w:tc>
        <w:tc>
          <w:tcPr>
            <w:tcW w:type="dxa" w:w="5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최초 SOLAS(1914) — 구명·무선·빙해순찰</w:t>
            </w:r>
          </w:p>
        </w:tc>
      </w:tr>
      <w:tr>
        <w:tc>
          <w:tcPr>
            <w:tcW w:type="dxa" w:w="26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1976-77 유조선 사고</w:t>
            </w:r>
          </w:p>
        </w:tc>
        <w:tc>
          <w:tcPr>
            <w:tcW w:type="dxa" w:w="1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1976-77</w:t>
            </w:r>
          </w:p>
        </w:tc>
        <w:tc>
          <w:tcPr>
            <w:tcW w:type="dxa" w:w="53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1978 의정서 — 불활성가스·레이더</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Amoco Cadiz 좌초</w:t>
            </w:r>
          </w:p>
        </w:tc>
        <w:tc>
          <w:tcPr>
            <w:tcW w:type="dxa" w:w="1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1978</w:t>
            </w:r>
          </w:p>
        </w:tc>
        <w:tc>
          <w:tcPr>
            <w:tcW w:type="dxa" w:w="5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1981 개정 — 조타장치 이중화</w:t>
            </w:r>
          </w:p>
        </w:tc>
      </w:tr>
      <w:tr>
        <w:tc>
          <w:tcPr>
            <w:tcW w:type="dxa" w:w="26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Herald of Free Enterprise 전복</w:t>
            </w:r>
          </w:p>
        </w:tc>
        <w:tc>
          <w:tcPr>
            <w:tcW w:type="dxa" w:w="1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1987</w:t>
            </w:r>
          </w:p>
        </w:tc>
        <w:tc>
          <w:tcPr>
            <w:tcW w:type="dxa" w:w="53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1988 개정 — 적재문·손상복원성</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Estonia 침몰</w:t>
            </w:r>
          </w:p>
        </w:tc>
        <w:tc>
          <w:tcPr>
            <w:tcW w:type="dxa" w:w="1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1994</w:t>
            </w:r>
          </w:p>
        </w:tc>
        <w:tc>
          <w:tcPr>
            <w:tcW w:type="dxa" w:w="53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1995 개정 — ro-ro SOLAS 90·2구획 생존</w:t>
            </w:r>
          </w:p>
        </w:tc>
      </w:tr>
      <w:tr>
        <w:tc>
          <w:tcPr>
            <w:tcW w:type="dxa" w:w="26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산적화물선 다발 침몰</w:t>
            </w:r>
          </w:p>
        </w:tc>
        <w:tc>
          <w:tcPr>
            <w:tcW w:type="dxa" w:w="1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1990s초</w:t>
            </w:r>
          </w:p>
        </w:tc>
        <w:tc>
          <w:tcPr>
            <w:tcW w:type="dxa" w:w="53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제XII장 신설(1997)</w:t>
            </w:r>
          </w:p>
        </w:tc>
      </w:tr>
    </w:tbl>
    <w:p>
      <w:pPr>
        <w:spacing w:after="200" w:before="80"/>
        <w:jc w:val="center"/>
      </w:pPr>
      <w:r>
        <w:rPr>
          <w:i/>
          <w:iCs/>
          <w:color w:val="5A6B82"/>
          <w:sz w:val="18"/>
          <w:szCs w:val="18"/>
        </w:rPr>
        <w:t xml:space="preserve">[표 3] 계기 사건 → 개정 인과 (KG의 TRIGGERED_BY 엣지)</w:t>
      </w:r>
    </w:p>
    <w:p>
      <w:r>
        <w:br w:type="page"/>
      </w:r>
    </w:p>
    <w:p>
      <w:pPr>
        <w:pStyle w:val="Heading1"/>
      </w:pPr>
      <w:r>
        <w:t xml:space="preserve">3. 청킹 설계 (② 단계)</w:t>
      </w:r>
    </w:p>
    <w:p>
      <w:pPr>
        <w:spacing w:after="120" w:line="300"/>
      </w:pPr>
      <w:r>
        <w:t xml:space="preserve">청킹은 章/개정/개념의 의미 단위로 수행했다(총 29청크 = 개념 2 + 章 13 + 개정 14). 고정 토큰 분할 대신 의미 경계 청킹을 써서 검색 정밀도와 근거 인용을 높인다.</w:t>
      </w:r>
    </w:p>
    <w:p>
      <w:pPr>
        <w:pStyle w:val="Heading2"/>
      </w:pPr>
      <w:r>
        <w:t xml:space="preserve">3.1 청크 스키마 (JSONL)</w:t>
      </w:r>
    </w:p>
    <w:p>
      <w:pPr>
        <w:pBdr>
          <w:left w:val="single" w:color="2E75B6" w:sz="18" w:space="8"/>
        </w:pBdr>
        <w:shd w:fill="F4F6F9" w:val="clear"/>
        <w:spacing w:after="120"/>
      </w:pPr>
      <w:r>
        <w:rPr>
          <w:rFonts w:ascii="Consolas" w:cs="Consolas" w:eastAsia="Consolas" w:hAnsi="Consolas"/>
          <w:color w:val="1F3050"/>
          <w:sz w:val="18"/>
          <w:szCs w:val="18"/>
        </w:rPr>
        <w:t xml:space="preserve">{</w:t>
      </w:r>
      <w:r>
        <w:br/>
      </w:r>
      <w:r>
        <w:rPr>
          <w:rFonts w:ascii="Consolas" w:cs="Consolas" w:eastAsia="Consolas" w:hAnsi="Consolas"/>
          <w:color w:val="1F3050"/>
          <w:sz w:val="18"/>
          <w:szCs w:val="18"/>
        </w:rPr>
        <w:t xml:space="preserve">  "chunk_id": "SOLAS_FOCUS_IMO_1998::CH_VI::&lt;hash&gt;",  // 벡터DB id = KG vector_ref</w:t>
      </w:r>
      <w:r>
        <w:br/>
      </w:r>
      <w:r>
        <w:rPr>
          <w:rFonts w:ascii="Consolas" w:cs="Consolas" w:eastAsia="Consolas" w:hAnsi="Consolas"/>
          <w:color w:val="1F3050"/>
          <w:sz w:val="18"/>
          <w:szCs w:val="18"/>
        </w:rPr>
        <w:t xml:space="preserve">  "doc_id": "SOLAS_FOCUS_IMO_1998",</w:t>
      </w:r>
      <w:r>
        <w:br/>
      </w:r>
      <w:r>
        <w:rPr>
          <w:rFonts w:ascii="Consolas" w:cs="Consolas" w:eastAsia="Consolas" w:hAnsi="Consolas"/>
          <w:color w:val="1F3050"/>
          <w:sz w:val="18"/>
          <w:szCs w:val="18"/>
        </w:rPr>
        <w:t xml:space="preserve">  "source": "Focus on IMO — SOLAS 1974 (IMO, Oct 1998)",</w:t>
      </w:r>
      <w:r>
        <w:br/>
      </w:r>
      <w:r>
        <w:rPr>
          <w:rFonts w:ascii="Consolas" w:cs="Consolas" w:eastAsia="Consolas" w:hAnsi="Consolas"/>
          <w:color w:val="1F3050"/>
          <w:sz w:val="18"/>
          <w:szCs w:val="18"/>
        </w:rPr>
        <w:t xml:space="preserve">  "standard": "SOLAS 1974 (as amended), IMO",</w:t>
      </w:r>
      <w:r>
        <w:br/>
      </w:r>
      <w:r>
        <w:rPr>
          <w:rFonts w:ascii="Consolas" w:cs="Consolas" w:eastAsia="Consolas" w:hAnsi="Consolas"/>
          <w:color w:val="1F3050"/>
          <w:sz w:val="18"/>
          <w:szCs w:val="18"/>
        </w:rPr>
        <w:t xml:space="preserve">  "chunk_type": "chapter" | "amendment" | "concept",</w:t>
      </w:r>
      <w:r>
        <w:br/>
      </w:r>
      <w:r>
        <w:rPr>
          <w:rFonts w:ascii="Consolas" w:cs="Consolas" w:eastAsia="Consolas" w:hAnsi="Consolas"/>
          <w:color w:val="1F3050"/>
          <w:sz w:val="18"/>
          <w:szCs w:val="18"/>
        </w:rPr>
        <w:t xml:space="preserve">  "title": "제VI장 화물 운송 (Carriage of Cargoes)",</w:t>
      </w:r>
      <w:r>
        <w:br/>
      </w:r>
      <w:r>
        <w:rPr>
          <w:rFonts w:ascii="Consolas" w:cs="Consolas" w:eastAsia="Consolas" w:hAnsi="Consolas"/>
          <w:color w:val="1F3050"/>
          <w:sz w:val="18"/>
          <w:szCs w:val="18"/>
        </w:rPr>
        <w:t xml:space="preserve">  "text": "&lt;정규화된 한국어 규정 요지&gt;",</w:t>
      </w:r>
      <w:r>
        <w:br/>
      </w:r>
      <w:r>
        <w:rPr>
          <w:rFonts w:ascii="Consolas" w:cs="Consolas" w:eastAsia="Consolas" w:hAnsi="Consolas"/>
          <w:color w:val="1F3050"/>
          <w:sz w:val="18"/>
          <w:szCs w:val="18"/>
        </w:rPr>
        <w:t xml:space="preserve">  "metadata": {</w:t>
      </w:r>
      <w:r>
        <w:br/>
      </w:r>
      <w:r>
        <w:rPr>
          <w:rFonts w:ascii="Consolas" w:cs="Consolas" w:eastAsia="Consolas" w:hAnsi="Consolas"/>
          <w:color w:val="1F3050"/>
          <w:sz w:val="18"/>
          <w:szCs w:val="18"/>
        </w:rPr>
        <w:t xml:space="preserve">    "chapter": "VI",            // 개정은 "II-1;III" 등 복수 가능</w:t>
      </w:r>
      <w:r>
        <w:br/>
      </w:r>
      <w:r>
        <w:rPr>
          <w:rFonts w:ascii="Consolas" w:cs="Consolas" w:eastAsia="Consolas" w:hAnsi="Consolas"/>
          <w:color w:val="1F3050"/>
          <w:sz w:val="18"/>
          <w:szCs w:val="18"/>
        </w:rPr>
        <w:t xml:space="preserve">    "amendment_year": 1991, "eif_date": "1994-01-01",</w:t>
      </w:r>
      <w:r>
        <w:br/>
      </w:r>
      <w:r>
        <w:rPr>
          <w:rFonts w:ascii="Consolas" w:cs="Consolas" w:eastAsia="Consolas" w:hAnsi="Consolas"/>
          <w:color w:val="1F3050"/>
          <w:sz w:val="18"/>
          <w:szCs w:val="18"/>
        </w:rPr>
        <w:t xml:space="preserve">    "trigger_event": null,      // 사고 계기 개정이면 사건명</w:t>
      </w:r>
      <w:r>
        <w:br/>
      </w:r>
      <w:r>
        <w:rPr>
          <w:rFonts w:ascii="Consolas" w:cs="Consolas" w:eastAsia="Consolas" w:hAnsi="Consolas"/>
          <w:color w:val="1F3050"/>
          <w:sz w:val="18"/>
          <w:szCs w:val="18"/>
        </w:rPr>
        <w:t xml:space="preserve">    "page": 5, "port_relevance": "high",</w:t>
      </w:r>
      <w:r>
        <w:br/>
      </w:r>
      <w:r>
        <w:rPr>
          <w:rFonts w:ascii="Consolas" w:cs="Consolas" w:eastAsia="Consolas" w:hAnsi="Consolas"/>
          <w:color w:val="1F3050"/>
          <w:sz w:val="18"/>
          <w:szCs w:val="18"/>
        </w:rPr>
        <w:t xml:space="preserve">    "domain_tags": ["SOLAS","chapter-VI","stowage","cargo-securing-manual"],</w:t>
      </w:r>
      <w:r>
        <w:br/>
      </w:r>
      <w:r>
        <w:rPr>
          <w:rFonts w:ascii="Consolas" w:cs="Consolas" w:eastAsia="Consolas" w:hAnsi="Consolas"/>
          <w:color w:val="1F3050"/>
          <w:sz w:val="18"/>
          <w:szCs w:val="18"/>
        </w:rPr>
        <w:t xml:space="preserve">    "lang": "ko"</w:t>
      </w:r>
      <w:r>
        <w:br/>
      </w:r>
      <w:r>
        <w:rPr>
          <w:rFonts w:ascii="Consolas" w:cs="Consolas" w:eastAsia="Consolas" w:hAnsi="Consolas"/>
          <w:color w:val="1F3050"/>
          <w:sz w:val="18"/>
          <w:szCs w:val="18"/>
        </w:rPr>
        <w:t xml:space="preserve">  }</w:t>
      </w:r>
      <w:r>
        <w:br/>
      </w:r>
      <w:r>
        <w:rPr>
          <w:rFonts w:ascii="Consolas" w:cs="Consolas" w:eastAsia="Consolas" w:hAnsi="Consolas"/>
          <w:color w:val="1F3050"/>
          <w:sz w:val="18"/>
          <w:szCs w:val="18"/>
        </w:rPr>
        <w:t xml:space="preserve">}</w:t>
      </w:r>
    </w:p>
    <w:p>
      <w:pPr>
        <w:pStyle w:val="Heading2"/>
      </w:pPr>
      <w:r>
        <w:t xml:space="preserve">3.2 메타데이터 설계 의도</w:t>
      </w:r>
    </w:p>
    <w:p>
      <w:pPr>
        <w:pStyle w:val="ListParagraph"/>
        <w:numPr>
          <w:ilvl w:val="0"/>
          <w:numId w:val="2"/>
        </w:numPr>
        <w:spacing w:after="60" w:line="290"/>
      </w:pPr>
      <w:r>
        <w:rPr>
          <w:b/>
          <w:bCs/>
        </w:rPr>
        <w:t xml:space="preserve">chapter: </w:t>
      </w:r>
      <w:r>
        <w:t xml:space="preserve">章 식별. 개정 청크는 여러 章을 동시에 바꾸므로 세미콜론 다중값. KG의 DESCRIBES·AMENDS 엣지 원천.</w:t>
      </w:r>
    </w:p>
    <w:p>
      <w:pPr>
        <w:pStyle w:val="ListParagraph"/>
        <w:numPr>
          <w:ilvl w:val="0"/>
          <w:numId w:val="2"/>
        </w:numPr>
        <w:spacing w:after="60" w:line="290"/>
      </w:pPr>
      <w:r>
        <w:rPr>
          <w:b/>
          <w:bCs/>
        </w:rPr>
        <w:t xml:space="preserve">amendment_year / eif_date: </w:t>
      </w:r>
      <w:r>
        <w:t xml:space="preserve">개정 연표·발효일 질의 근거(“언제부터 적용되나”).</w:t>
      </w:r>
    </w:p>
    <w:p>
      <w:pPr>
        <w:pStyle w:val="ListParagraph"/>
        <w:numPr>
          <w:ilvl w:val="0"/>
          <w:numId w:val="2"/>
        </w:numPr>
        <w:spacing w:after="60" w:line="290"/>
      </w:pPr>
      <w:r>
        <w:rPr>
          <w:b/>
          <w:bCs/>
        </w:rPr>
        <w:t xml:space="preserve">trigger_event: </w:t>
      </w:r>
      <w:r>
        <w:t xml:space="preserve">계기 사건. KG의 TRIGGERED_BY 엣지로 “왜 이 규정이 생겼나” 설명.</w:t>
      </w:r>
    </w:p>
    <w:p>
      <w:pPr>
        <w:pStyle w:val="ListParagraph"/>
        <w:numPr>
          <w:ilvl w:val="0"/>
          <w:numId w:val="2"/>
        </w:numPr>
        <w:spacing w:after="60" w:line="290"/>
      </w:pPr>
      <w:r>
        <w:rPr>
          <w:b/>
          <w:bCs/>
        </w:rPr>
        <w:t xml:space="preserve">port_relevance: </w:t>
      </w:r>
      <w:r>
        <w:t xml:space="preserve">항만 적재 관련도(high/medium/low). 적재 설명용 근거 사전 필터.</w:t>
      </w:r>
    </w:p>
    <w:p>
      <w:r>
        <w:br w:type="page"/>
      </w:r>
    </w:p>
    <w:p>
      <w:pPr>
        <w:pStyle w:val="Heading1"/>
      </w:pPr>
      <w:r>
        <w:t xml:space="preserve">4. SFT 데이터셋 (③ 단계)</w:t>
      </w:r>
    </w:p>
    <w:p>
      <w:pPr>
        <w:spacing w:after="120" w:line="300"/>
      </w:pPr>
      <w:r>
        <w:t xml:space="preserve">청크의 규범·이력을 6개 task로 변환했다(총 17건, 확장 예정). chat + 평면 IO 포맷을 병기한다. system 프롬프트는 章·규칙·발효일 인용을 강제하고, “SOLAS는 안전 근거 설명용이며 구체 적재 결정은 IMDG·SOP·엔진의 몫”임을 명시해 역할 혼동을 방지한다.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4200"/>
        <w:gridCol w:w="2160"/>
      </w:tblGrid>
      <w:tr>
        <w:trPr>
          <w:tblHeader/>
        </w:trPr>
        <w:tc>
          <w:tcPr>
            <w:tcW w:type="dxa" w:w="21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task_type</w:t>
            </w:r>
          </w:p>
        </w:tc>
        <w:tc>
          <w:tcPr>
            <w:tcW w:type="dxa" w:w="9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건수</w:t>
            </w:r>
          </w:p>
        </w:tc>
        <w:tc>
          <w:tcPr>
            <w:tcW w:type="dxa" w:w="42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목적</w:t>
            </w:r>
          </w:p>
        </w:tc>
        <w:tc>
          <w:tcPr>
            <w:tcW w:type="dxa" w:w="216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PortSLM 용도</w:t>
            </w:r>
          </w:p>
        </w:tc>
      </w:tr>
      <w:tr>
        <w:tc>
          <w:tcPr>
            <w:tcW w:type="dxa" w:w="21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chapter_qa</w:t>
            </w:r>
          </w:p>
        </w:tc>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4</w:t>
            </w:r>
          </w:p>
        </w:tc>
        <w:tc>
          <w:tcPr>
            <w:tcW w:type="dxa" w:w="4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章 규정 Q&amp;A</w:t>
            </w:r>
          </w:p>
        </w:tc>
        <w:tc>
          <w:tcPr>
            <w:tcW w:type="dxa" w:w="2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규정 근거 설명</w:t>
            </w:r>
          </w:p>
        </w:tc>
      </w:tr>
      <w:tr>
        <w:tc>
          <w:tcPr>
            <w:tcW w:type="dxa" w:w="21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amendment_qa</w:t>
            </w:r>
          </w:p>
        </w:tc>
        <w:tc>
          <w:tcPr>
            <w:tcW w:type="dxa" w:w="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4</w:t>
            </w:r>
          </w:p>
        </w:tc>
        <w:tc>
          <w:tcPr>
            <w:tcW w:type="dxa" w:w="42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개정 이력·계기 Q&amp;A</w:t>
            </w:r>
          </w:p>
        </w:tc>
        <w:tc>
          <w:tcPr>
            <w:tcW w:type="dxa" w:w="21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규정 연혁 설명</w:t>
            </w:r>
          </w:p>
        </w:tc>
      </w:tr>
      <w:tr>
        <w:tc>
          <w:tcPr>
            <w:tcW w:type="dxa" w:w="21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port_link</w:t>
            </w:r>
          </w:p>
        </w:tc>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3</w:t>
            </w:r>
          </w:p>
        </w:tc>
        <w:tc>
          <w:tcPr>
            <w:tcW w:type="dxa" w:w="4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복원성·적부 적재 연계</w:t>
            </w:r>
          </w:p>
        </w:tc>
        <w:tc>
          <w:tcPr>
            <w:tcW w:type="dxa" w:w="2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적재 안전 근거</w:t>
            </w:r>
          </w:p>
        </w:tc>
      </w:tr>
      <w:tr>
        <w:tc>
          <w:tcPr>
            <w:tcW w:type="dxa" w:w="21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safety_diag</w:t>
            </w:r>
          </w:p>
        </w:tc>
        <w:tc>
          <w:tcPr>
            <w:tcW w:type="dxa" w:w="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2</w:t>
            </w:r>
          </w:p>
        </w:tc>
        <w:tc>
          <w:tcPr>
            <w:tcW w:type="dxa" w:w="42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SOLAS 근거 안전 진단</w:t>
            </w:r>
          </w:p>
        </w:tc>
        <w:tc>
          <w:tcPr>
            <w:tcW w:type="dxa" w:w="21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위험 설명·점검</w:t>
            </w:r>
          </w:p>
        </w:tc>
      </w:tr>
      <w:tr>
        <w:tc>
          <w:tcPr>
            <w:tcW w:type="dxa" w:w="21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code_qa</w:t>
            </w:r>
          </w:p>
        </w:tc>
        <w:tc>
          <w:tcPr>
            <w:tcW w:type="dxa" w:w="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2</w:t>
            </w:r>
          </w:p>
        </w:tc>
        <w:tc>
          <w:tcPr>
            <w:tcW w:type="dxa" w:w="4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약어/코드 정의</w:t>
            </w:r>
          </w:p>
        </w:tc>
        <w:tc>
          <w:tcPr>
            <w:tcW w:type="dxa" w:w="2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IMDG·ISM·LSA 등</w:t>
            </w:r>
          </w:p>
        </w:tc>
      </w:tr>
      <w:tr>
        <w:tc>
          <w:tcPr>
            <w:tcW w:type="dxa" w:w="21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text2cypher</w:t>
            </w:r>
          </w:p>
        </w:tc>
        <w:tc>
          <w:tcPr>
            <w:tcW w:type="dxa" w:w="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2</w:t>
            </w:r>
          </w:p>
        </w:tc>
        <w:tc>
          <w:tcPr>
            <w:tcW w:type="dxa" w:w="42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자연어→SOLAS KG Cypher</w:t>
            </w:r>
          </w:p>
        </w:tc>
        <w:tc>
          <w:tcPr>
            <w:tcW w:type="dxa" w:w="21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GraphRAG 질의</w:t>
            </w:r>
          </w:p>
        </w:tc>
      </w:tr>
    </w:tbl>
    <w:p>
      <w:pPr>
        <w:spacing w:after="200" w:before="80"/>
        <w:jc w:val="center"/>
      </w:pPr>
      <w:r>
        <w:rPr>
          <w:i/>
          <w:iCs/>
          <w:color w:val="5A6B82"/>
          <w:sz w:val="18"/>
          <w:szCs w:val="18"/>
        </w:rPr>
        <w:t xml:space="preserve">[표 4] SFT task 분포</w:t>
      </w:r>
    </w:p>
    <w:p>
      <w:pPr>
        <w:pStyle w:val="Heading2"/>
      </w:pPr>
      <w:r>
        <w:t xml:space="preserve">4.1 샘플 (개정 인과 + 적재 연계 + text2Cypher)</w:t>
      </w:r>
    </w:p>
    <w:p>
      <w:pPr>
        <w:pBdr>
          <w:left w:val="single" w:color="2E75B6" w:sz="18" w:space="8"/>
        </w:pBdr>
        <w:shd w:fill="F4F6F9" w:val="clear"/>
        <w:spacing w:after="120"/>
      </w:pPr>
      <w:r>
        <w:rPr>
          <w:rFonts w:ascii="Consolas" w:cs="Consolas" w:eastAsia="Consolas" w:hAnsi="Consolas"/>
          <w:color w:val="1F3050"/>
          <w:sz w:val="18"/>
          <w:szCs w:val="18"/>
        </w:rPr>
        <w:t xml:space="preserve">{ "task_type":"amendment_qa",</w:t>
      </w:r>
      <w:r>
        <w:br/>
      </w:r>
      <w:r>
        <w:rPr>
          <w:rFonts w:ascii="Consolas" w:cs="Consolas" w:eastAsia="Consolas" w:hAnsi="Consolas"/>
          <w:color w:val="1F3050"/>
          <w:sz w:val="18"/>
          <w:szCs w:val="18"/>
        </w:rPr>
        <w:t xml:space="preserve">  "instruction":"Estonia호 침몰은 SOLAS 개정에 어떤 영향을 주었는가?",</w:t>
      </w:r>
      <w:r>
        <w:br/>
      </w:r>
      <w:r>
        <w:rPr>
          <w:rFonts w:ascii="Consolas" w:cs="Consolas" w:eastAsia="Consolas" w:hAnsi="Consolas"/>
          <w:color w:val="1F3050"/>
          <w:sz w:val="18"/>
          <w:szCs w:val="18"/>
        </w:rPr>
        <w:t xml:space="preserve">  "output":"1994년 Estonia 침몰(850명+)을 계기로 1995년 11월 개정(1997-07-01</w:t>
      </w:r>
      <w:r>
        <w:br/>
      </w:r>
      <w:r>
        <w:rPr>
          <w:rFonts w:ascii="Consolas" w:cs="Consolas" w:eastAsia="Consolas" w:hAnsi="Consolas"/>
          <w:color w:val="1F3050"/>
          <w:sz w:val="18"/>
          <w:szCs w:val="18"/>
        </w:rPr>
        <w:t xml:space="preserve">            발효): II-1장 8-1규칙(기존 ro-ro도 SOLAS 90), 8-2규칙(400명+ 2구획</w:t>
      </w:r>
      <w:r>
        <w:br/>
      </w:r>
      <w:r>
        <w:rPr>
          <w:rFonts w:ascii="Consolas" w:cs="Consolas" w:eastAsia="Consolas" w:hAnsi="Consolas"/>
          <w:color w:val="1F3050"/>
          <w:sz w:val="18"/>
          <w:szCs w:val="18"/>
        </w:rPr>
        <w:t xml:space="preserve">            생존), Stockholm Agreement(차량갑판 0.5m 물 고려)..." }</w:t>
      </w:r>
      <w:r>
        <w:br/>
      </w:r>
      <w:r>
        <w:rPr>
          <w:rFonts w:ascii="Consolas" w:cs="Consolas" w:eastAsia="Consolas" w:hAnsi="Consolas"/>
          <w:color w:val="1F3050"/>
          <w:sz w:val="18"/>
          <w:szCs w:val="18"/>
        </w:rPr>
        <w:t xml:space="preserve"/>
      </w:r>
      <w:r>
        <w:br/>
      </w:r>
      <w:r>
        <w:rPr>
          <w:rFonts w:ascii="Consolas" w:cs="Consolas" w:eastAsia="Consolas" w:hAnsi="Consolas"/>
          <w:color w:val="1F3050"/>
          <w:sz w:val="18"/>
          <w:szCs w:val="18"/>
        </w:rPr>
        <w:t xml:space="preserve">{ "task_type":"port_link",</w:t>
      </w:r>
      <w:r>
        <w:br/>
      </w:r>
      <w:r>
        <w:rPr>
          <w:rFonts w:ascii="Consolas" w:cs="Consolas" w:eastAsia="Consolas" w:hAnsi="Consolas"/>
          <w:color w:val="1F3050"/>
          <w:sz w:val="18"/>
          <w:szCs w:val="18"/>
        </w:rPr>
        <w:t xml:space="preserve">  "instruction":"컨테이너 적부·고박의 SOLAS 근거를 설명하라.",</w:t>
      </w:r>
      <w:r>
        <w:br/>
      </w:r>
      <w:r>
        <w:rPr>
          <w:rFonts w:ascii="Consolas" w:cs="Consolas" w:eastAsia="Consolas" w:hAnsi="Consolas"/>
          <w:color w:val="1F3050"/>
          <w:sz w:val="18"/>
          <w:szCs w:val="18"/>
        </w:rPr>
        <w:t xml:space="preserve">  "output":"제VI장 5규칙(적부·고박), 1998년 개정으로 ‘산적 외 모든 화물’은</w:t>
      </w:r>
      <w:r>
        <w:br/>
      </w:r>
      <w:r>
        <w:rPr>
          <w:rFonts w:ascii="Consolas" w:cs="Consolas" w:eastAsia="Consolas" w:hAnsi="Consolas"/>
          <w:color w:val="1F3050"/>
          <w:sz w:val="18"/>
          <w:szCs w:val="18"/>
        </w:rPr>
        <w:t xml:space="preserve">            Cargo Securing Manual 준수 명확화. CSS Code(1994 일부 강제) 근거..." }</w:t>
      </w:r>
      <w:r>
        <w:br/>
      </w:r>
      <w:r>
        <w:rPr>
          <w:rFonts w:ascii="Consolas" w:cs="Consolas" w:eastAsia="Consolas" w:hAnsi="Consolas"/>
          <w:color w:val="1F3050"/>
          <w:sz w:val="18"/>
          <w:szCs w:val="18"/>
        </w:rPr>
        <w:t xml:space="preserve"/>
      </w:r>
      <w:r>
        <w:br/>
      </w:r>
      <w:r>
        <w:rPr>
          <w:rFonts w:ascii="Consolas" w:cs="Consolas" w:eastAsia="Consolas" w:hAnsi="Consolas"/>
          <w:color w:val="1F3050"/>
          <w:sz w:val="18"/>
          <w:szCs w:val="18"/>
        </w:rPr>
        <w:t xml:space="preserve">{ "task_type":"text2cypher",</w:t>
      </w:r>
      <w:r>
        <w:br/>
      </w:r>
      <w:r>
        <w:rPr>
          <w:rFonts w:ascii="Consolas" w:cs="Consolas" w:eastAsia="Consolas" w:hAnsi="Consolas"/>
          <w:color w:val="1F3050"/>
          <w:sz w:val="18"/>
          <w:szCs w:val="18"/>
        </w:rPr>
        <w:t xml:space="preserve">  "input":"ro-ro 사고로 촉발된 개정과 바꾼 章",</w:t>
      </w:r>
      <w:r>
        <w:br/>
      </w:r>
      <w:r>
        <w:rPr>
          <w:rFonts w:ascii="Consolas" w:cs="Consolas" w:eastAsia="Consolas" w:hAnsi="Consolas"/>
          <w:color w:val="1F3050"/>
          <w:sz w:val="18"/>
          <w:szCs w:val="18"/>
        </w:rPr>
        <w:t xml:space="preserve">  "output":"MATCH (e:Event)&lt;-[:TRIGGERED_BY]-(a:Amendment)-[:AMENDS]-&gt;(c:Chapter)</w:t>
      </w:r>
      <w:r>
        <w:br/>
      </w:r>
      <w:r>
        <w:rPr>
          <w:rFonts w:ascii="Consolas" w:cs="Consolas" w:eastAsia="Consolas" w:hAnsi="Consolas"/>
          <w:color w:val="1F3050"/>
          <w:sz w:val="18"/>
          <w:szCs w:val="18"/>
        </w:rPr>
        <w:t xml:space="preserve">            WHERE e.name CONTAINS 'Herald' OR e.name CONTAINS 'Estonia'</w:t>
      </w:r>
      <w:r>
        <w:br/>
      </w:r>
      <w:r>
        <w:rPr>
          <w:rFonts w:ascii="Consolas" w:cs="Consolas" w:eastAsia="Consolas" w:hAnsi="Consolas"/>
          <w:color w:val="1F3050"/>
          <w:sz w:val="18"/>
          <w:szCs w:val="18"/>
        </w:rPr>
        <w:t xml:space="preserve">            RETURN e.name, a.year, a.eif, collect(c.chapter_id);" }</w:t>
      </w:r>
    </w:p>
    <w:p>
      <w:pPr>
        <w:spacing w:after="120" w:line="300"/>
      </w:pPr>
      <w:r>
        <w:rPr>
          <w:b/>
          <w:bCs/>
        </w:rPr>
        <w:t xml:space="preserve">확장 권고: </w:t>
      </w:r>
      <w:r>
        <w:t xml:space="preserve">ISPS·IMDG·터미널 SOP 등 다른 비정형 코퍼스가 확보되면 동일 task 체계로 교차 규정 Q&amp;A(SOLAS↔IMDG 격리, SOLAS↔SOP 절차)를 추가한다. 목표 규모는 task당 40~120건.</w:t>
      </w:r>
    </w:p>
    <w:p>
      <w:r>
        <w:br w:type="page"/>
      </w:r>
    </w:p>
    <w:p>
      <w:pPr>
        <w:pStyle w:val="Heading1"/>
      </w:pPr>
      <w:r>
        <w:t xml:space="preserve">5. 임베딩 스키마 (④ 단계)</w:t>
      </w:r>
    </w:p>
    <w:p>
      <w:pPr>
        <w:spacing w:after="120" w:line="300"/>
      </w:pPr>
      <w:r>
        <w:t xml:space="preserve">청크를 벡터DB에 적재하기 위한 컬렉션 스키마다. COPRAR와 동일하게 BGE-M3(1024d)·Chroma/pgvector를 쓰되, 컬렉션을 분리(portslm_solas_1998)하고 SOLAS 고유 메타(chapter·amendment_year·port_relevance)로 필터링한다.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항목</w:t>
            </w:r>
          </w:p>
        </w:tc>
        <w:tc>
          <w:tcPr>
            <w:tcW w:type="dxa" w:w="676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값</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collection</w:t>
            </w:r>
          </w:p>
        </w:tc>
        <w:tc>
          <w:tcPr>
            <w:tcW w:type="dxa" w:w="67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portslm_solas_1998</w:t>
            </w:r>
          </w:p>
        </w:tc>
      </w:tr>
      <w:tr>
        <w:tc>
          <w:tcPr>
            <w:tcW w:type="dxa" w:w="26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embedding_model</w:t>
            </w:r>
          </w:p>
        </w:tc>
        <w:tc>
          <w:tcPr>
            <w:tcW w:type="dxa" w:w="67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BAAI/bge-m3 (1024-dim, normalize=True)</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distance / index</w:t>
            </w:r>
          </w:p>
        </w:tc>
        <w:tc>
          <w:tcPr>
            <w:tcW w:type="dxa" w:w="67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cosine / HNSW (m=16, ef_construction=200)</w:t>
            </w:r>
          </w:p>
        </w:tc>
      </w:tr>
      <w:tr>
        <w:tc>
          <w:tcPr>
            <w:tcW w:type="dxa" w:w="26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embedding_input</w:t>
            </w:r>
          </w:p>
        </w:tc>
        <w:tc>
          <w:tcPr>
            <w:tcW w:type="dxa" w:w="67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"{title}\n{text}" — 제목+본문 결합</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검색 기본값</w:t>
            </w:r>
          </w:p>
        </w:tc>
        <w:tc>
          <w:tcPr>
            <w:tcW w:type="dxa" w:w="67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top_k=6, score_threshold=0.35, 하이브리드(BM25+벡터)</w:t>
            </w:r>
          </w:p>
        </w:tc>
      </w:tr>
      <w:tr>
        <w:tc>
          <w:tcPr>
            <w:tcW w:type="dxa" w:w="26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메타 필터 예</w:t>
            </w:r>
          </w:p>
        </w:tc>
        <w:tc>
          <w:tcPr>
            <w:tcW w:type="dxa" w:w="67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port_relevance=high / chapter=VI / chunk_type=amendment / tags⊇stability</w:t>
            </w:r>
          </w:p>
        </w:tc>
      </w:tr>
    </w:tbl>
    <w:p>
      <w:pPr>
        <w:spacing w:after="200" w:before="80"/>
        <w:jc w:val="center"/>
      </w:pPr>
      <w:r>
        <w:rPr>
          <w:i/>
          <w:iCs/>
          <w:color w:val="5A6B82"/>
          <w:sz w:val="18"/>
          <w:szCs w:val="18"/>
        </w:rPr>
        <w:t xml:space="preserve">[표 5] Vector DB 컬렉션 스키마</w:t>
      </w:r>
    </w:p>
    <w:p>
      <w:pPr>
        <w:spacing w:after="120" w:line="300"/>
      </w:pPr>
      <w:r>
        <w:rPr>
          <w:b/>
          <w:bCs/>
        </w:rPr>
        <w:t xml:space="preserve">통합 검색: </w:t>
      </w:r>
      <w:r>
        <w:t xml:space="preserve">COPRAR 컬렉션과 SOLAS 컬렉션은 동일 임베딩 모델·차원을 쓰므로, 멀티 컬렉션 라우팅 또는 단일 컬렉션 통합 적재(메타 standard로 구분) 모두 가능하다. “적재 규칙” 질의는 COPRAR, “안전 근거” 질의는 SOLAS로 라우팅하거나 함께 검색해 융합한다.</w:t>
      </w:r>
    </w:p>
    <w:p>
      <w:r>
        <w:br w:type="page"/>
      </w:r>
    </w:p>
    <w:p>
      <w:pPr>
        <w:pStyle w:val="Heading1"/>
      </w:pPr>
      <w:r>
        <w:t xml:space="preserve">6. GraphRAG 지식그래프 설계 (⑤ 단계)</w:t>
      </w:r>
    </w:p>
    <w:p>
      <w:pPr>
        <w:spacing w:after="120" w:line="300"/>
      </w:pPr>
      <w:r>
        <w:t xml:space="preserve">SOLAS는 章·개정·사건의 인과 구조가 핵심이므로 이를 그래프로 표현한다. 규정 KG(정적·인과)와 운영 KG(적재 인스턴스)를 Constraint 노드로 연결해 “적재 검증 → SOLAS 근거 章” 경로를 만든다.</w:t>
      </w:r>
    </w:p>
    <w:p>
      <w:pPr>
        <w:spacing w:after="4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05125"/>
                    </a:xfrm>
                    <a:prstGeom prst="rect">
                      <a:avLst/>
                    </a:prstGeom>
                  </pic:spPr>
                </pic:pic>
              </a:graphicData>
            </a:graphic>
          </wp:inline>
        </w:drawing>
      </w:r>
    </w:p>
    <w:p>
      <w:pPr>
        <w:spacing w:after="200" w:before="80"/>
        <w:jc w:val="center"/>
      </w:pPr>
      <w:r>
        <w:rPr>
          <w:i/>
          <w:iCs/>
          <w:color w:val="5A6B82"/>
          <w:sz w:val="18"/>
          <w:szCs w:val="18"/>
        </w:rPr>
        <w:t xml:space="preserve">[그림 2] GraphRAG 지식그래프 스키마 (SOLAS 章·개정·사건 + 운영 KG 연동)</w:t>
      </w:r>
    </w:p>
    <w:p>
      <w:pPr>
        <w:pStyle w:val="Heading2"/>
      </w:pPr>
      <w:r>
        <w:t xml:space="preserve">6.1 노드 (총 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노드 레이블</w:t>
            </w:r>
          </w:p>
        </w:tc>
        <w:tc>
          <w:tcPr>
            <w:tcW w:type="dxa" w:w="10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수</w:t>
            </w:r>
          </w:p>
        </w:tc>
        <w:tc>
          <w:tcPr>
            <w:tcW w:type="dxa" w:w="616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속성 / 역할</w:t>
            </w:r>
          </w:p>
        </w:tc>
      </w:tr>
      <w:tr>
        <w:tc>
          <w:tcPr>
            <w:tcW w:type="dxa" w:w="2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Document</w:t>
            </w:r>
          </w:p>
        </w:tc>
        <w:tc>
          <w:tcPr>
            <w:tcW w:type="dxa" w:w="1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w:t>
            </w:r>
          </w:p>
        </w:tc>
        <w:tc>
          <w:tcPr>
            <w:tcW w:type="dxa" w:w="6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SOLAS Focus on IMO 1998</w:t>
            </w:r>
          </w:p>
        </w:tc>
      </w:tr>
      <w:tr>
        <w:tc>
          <w:tcPr>
            <w:tcW w:type="dxa" w:w="22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Chapter</w:t>
            </w:r>
          </w:p>
        </w:tc>
        <w:tc>
          <w:tcPr>
            <w:tcW w:type="dxa" w:w="10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13</w:t>
            </w:r>
          </w:p>
        </w:tc>
        <w:tc>
          <w:tcPr>
            <w:tcW w:type="dxa" w:w="61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chapter_id, title — 제I~XII장</w:t>
            </w:r>
          </w:p>
        </w:tc>
      </w:tr>
      <w:tr>
        <w:tc>
          <w:tcPr>
            <w:tcW w:type="dxa" w:w="2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Amendment</w:t>
            </w:r>
          </w:p>
        </w:tc>
        <w:tc>
          <w:tcPr>
            <w:tcW w:type="dxa" w:w="1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14</w:t>
            </w:r>
          </w:p>
        </w:tc>
        <w:tc>
          <w:tcPr>
            <w:tcW w:type="dxa" w:w="6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year, eif_date, chunk_ref — 연도별 개정</w:t>
            </w:r>
          </w:p>
        </w:tc>
      </w:tr>
      <w:tr>
        <w:tc>
          <w:tcPr>
            <w:tcW w:type="dxa" w:w="22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Event</w:t>
            </w:r>
          </w:p>
        </w:tc>
        <w:tc>
          <w:tcPr>
            <w:tcW w:type="dxa" w:w="10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5</w:t>
            </w:r>
          </w:p>
        </w:tc>
        <w:tc>
          <w:tcPr>
            <w:tcW w:type="dxa" w:w="61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계기 사건(Herald·Estonia·Amoco Cadiz 등)</w:t>
            </w:r>
          </w:p>
        </w:tc>
      </w:tr>
      <w:tr>
        <w:tc>
          <w:tcPr>
            <w:tcW w:type="dxa" w:w="2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EvidenceChunk</w:t>
            </w:r>
          </w:p>
        </w:tc>
        <w:tc>
          <w:tcPr>
            <w:tcW w:type="dxa" w:w="1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29</w:t>
            </w:r>
          </w:p>
        </w:tc>
        <w:tc>
          <w:tcPr>
            <w:tcW w:type="dxa" w:w="6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chunk_id(=vector_ref), port_relevance — RAG 근거</w:t>
            </w:r>
          </w:p>
        </w:tc>
      </w:tr>
      <w:tr>
        <w:tc>
          <w:tcPr>
            <w:tcW w:type="dxa" w:w="22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Code</w:t>
            </w:r>
          </w:p>
        </w:tc>
        <w:tc>
          <w:tcPr>
            <w:tcW w:type="dxa" w:w="10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10</w:t>
            </w:r>
          </w:p>
        </w:tc>
        <w:tc>
          <w:tcPr>
            <w:tcW w:type="dxa" w:w="61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IMDG·ISM·LSA·CSS·IBC·IGC 등 참조 코드</w:t>
            </w:r>
          </w:p>
        </w:tc>
      </w:tr>
      <w:tr>
        <w:tc>
          <w:tcPr>
            <w:tcW w:type="dxa" w:w="22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Constraint</w:t>
            </w:r>
          </w:p>
        </w:tc>
        <w:tc>
          <w:tcPr>
            <w:tcW w:type="dxa" w:w="10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4</w:t>
            </w:r>
          </w:p>
        </w:tc>
        <w:tc>
          <w:tcPr>
            <w:tcW w:type="dxa" w:w="61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stability·weight·securing·DG — 적재 제약</w:t>
            </w:r>
          </w:p>
        </w:tc>
      </w:tr>
    </w:tbl>
    <w:p>
      <w:pPr>
        <w:spacing w:after="200" w:before="80"/>
        <w:jc w:val="center"/>
      </w:pPr>
      <w:r>
        <w:rPr>
          <w:i/>
          <w:iCs/>
          <w:color w:val="5A6B82"/>
          <w:sz w:val="18"/>
          <w:szCs w:val="18"/>
        </w:rPr>
        <w:t xml:space="preserve">[표 6] KG 노드</w:t>
      </w:r>
    </w:p>
    <w:p>
      <w:pPr>
        <w:pStyle w:val="Heading2"/>
      </w:pPr>
      <w:r>
        <w:t xml:space="preserve">6.2 엣지 (7종 + 운영 연동)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관계</w:t>
            </w:r>
          </w:p>
        </w:tc>
        <w:tc>
          <w:tcPr>
            <w:tcW w:type="dxa" w:w="646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의미</w:t>
            </w:r>
          </w:p>
        </w:tc>
      </w:tr>
      <w:tr>
        <w:tc>
          <w:tcPr>
            <w:tcW w:type="dxa" w:w="2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Amendment -[:AMENDS]-&gt; Chapter</w:t>
            </w:r>
          </w:p>
        </w:tc>
        <w:tc>
          <w:tcPr>
            <w:tcW w:type="dxa" w:w="6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개정이 바꾼 章</w:t>
            </w:r>
          </w:p>
        </w:tc>
      </w:tr>
      <w:tr>
        <w:tc>
          <w:tcPr>
            <w:tcW w:type="dxa" w:w="2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Amendment -[:TRIGGERED_BY]-&gt; Event</w:t>
            </w:r>
          </w:p>
        </w:tc>
        <w:tc>
          <w:tcPr>
            <w:tcW w:type="dxa" w:w="64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개정의 계기 사건 (왜 생겼나)</w:t>
            </w:r>
          </w:p>
        </w:tc>
      </w:tr>
      <w:tr>
        <w:tc>
          <w:tcPr>
            <w:tcW w:type="dxa" w:w="2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EvidenceChunk -[:DESCRIBES]-&gt; Chapter</w:t>
            </w:r>
          </w:p>
        </w:tc>
        <w:tc>
          <w:tcPr>
            <w:tcW w:type="dxa" w:w="6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청크가 다루는 章</w:t>
            </w:r>
          </w:p>
        </w:tc>
      </w:tr>
      <w:tr>
        <w:tc>
          <w:tcPr>
            <w:tcW w:type="dxa" w:w="2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EvidenceChunk -[:REFERENCES_CODE]-&gt; Code</w:t>
            </w:r>
          </w:p>
        </w:tc>
        <w:tc>
          <w:tcPr>
            <w:tcW w:type="dxa" w:w="64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청크가 참조하는 코드</w:t>
            </w:r>
          </w:p>
        </w:tc>
      </w:tr>
      <w:tr>
        <w:tc>
          <w:tcPr>
            <w:tcW w:type="dxa" w:w="2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EvidenceChunk -[:DESCRIBED_IN]-&gt; Document</w:t>
            </w:r>
          </w:p>
        </w:tc>
        <w:tc>
          <w:tcPr>
            <w:tcW w:type="dxa" w:w="6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원천 문서 추적</w:t>
            </w:r>
          </w:p>
        </w:tc>
      </w:tr>
      <w:tr>
        <w:tc>
          <w:tcPr>
            <w:tcW w:type="dxa" w:w="2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Chapter -[:SUPPORTS]-&gt; Constraint</w:t>
            </w:r>
          </w:p>
        </w:tc>
        <w:tc>
          <w:tcPr>
            <w:tcW w:type="dxa" w:w="64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章이 뒷받침하는 적재 제약</w:t>
            </w:r>
          </w:p>
        </w:tc>
      </w:tr>
      <w:tr>
        <w:tc>
          <w:tcPr>
            <w:tcW w:type="dxa" w:w="29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Constraint -[:EVIDENCED_BY]-&gt; EvidenceChunk</w:t>
            </w:r>
          </w:p>
        </w:tc>
        <w:tc>
          <w:tcPr>
            <w:tcW w:type="dxa" w:w="64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제약의 근거 청크 (설명 경로)</w:t>
            </w:r>
          </w:p>
        </w:tc>
      </w:tr>
      <w:tr>
        <w:tc>
          <w:tcPr>
            <w:tcW w:type="dxa" w:w="29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Constraint -[:APPLIES_TO]-&gt; Container ⋯</w:t>
            </w:r>
          </w:p>
        </w:tc>
        <w:tc>
          <w:tcPr>
            <w:tcW w:type="dxa" w:w="64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운영 KG 결합 (적재 인스턴스)</w:t>
            </w:r>
          </w:p>
        </w:tc>
      </w:tr>
    </w:tbl>
    <w:p>
      <w:pPr>
        <w:spacing w:after="200" w:before="80"/>
        <w:jc w:val="center"/>
      </w:pPr>
      <w:r>
        <w:rPr>
          <w:i/>
          <w:iCs/>
          <w:color w:val="5A6B82"/>
          <w:sz w:val="18"/>
          <w:szCs w:val="18"/>
        </w:rPr>
        <w:t xml:space="preserve">[표 7] KG 엣지 (마지막 행은 운영 KG 연동점)</w:t>
      </w:r>
    </w:p>
    <w:p>
      <w:pPr>
        <w:pStyle w:val="Heading2"/>
      </w:pPr>
      <w:r>
        <w:t xml:space="preserve">6.3 제약 매핑 (SOLAS → PortAgent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260"/>
        <w:gridCol w:w="1100"/>
      </w:tblGrid>
      <w:tr>
        <w:trPr>
          <w:tblHeader/>
        </w:trPr>
        <w:tc>
          <w:tcPr>
            <w:tcW w:type="dxa" w:w="24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Constraint</w:t>
            </w:r>
          </w:p>
        </w:tc>
        <w:tc>
          <w:tcPr>
            <w:tcW w:type="dxa" w:w="26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type</w:t>
            </w:r>
          </w:p>
        </w:tc>
        <w:tc>
          <w:tcPr>
            <w:tcW w:type="dxa" w:w="326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근거 章</w:t>
            </w:r>
          </w:p>
        </w:tc>
        <w:tc>
          <w:tcPr>
            <w:tcW w:type="dxa" w:w="11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severity</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S-STABILITY</w:t>
            </w:r>
          </w:p>
        </w:tc>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stability</w:t>
            </w:r>
          </w:p>
        </w:tc>
        <w:tc>
          <w:tcPr>
            <w:tcW w:type="dxa" w:w="3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제II-1장</w:t>
            </w:r>
          </w:p>
        </w:tc>
        <w:tc>
          <w:tcPr>
            <w:tcW w:type="dxa" w:w="11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high</w:t>
            </w:r>
          </w:p>
        </w:tc>
      </w:tr>
      <w:tr>
        <w:tc>
          <w:tcPr>
            <w:tcW w:type="dxa" w:w="2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S-WEIGHT</w:t>
            </w:r>
          </w:p>
        </w:tc>
        <w:tc>
          <w:tcPr>
            <w:tcW w:type="dxa" w:w="26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weight_distribution</w:t>
            </w:r>
          </w:p>
        </w:tc>
        <w:tc>
          <w:tcPr>
            <w:tcW w:type="dxa" w:w="32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제XII장</w:t>
            </w:r>
          </w:p>
        </w:tc>
        <w:tc>
          <w:tcPr>
            <w:tcW w:type="dxa" w:w="11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high</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S-SECURING</w:t>
            </w:r>
          </w:p>
        </w:tc>
        <w:tc>
          <w:tcPr>
            <w:tcW w:type="dxa" w:w="26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cargo_securing</w:t>
            </w:r>
          </w:p>
        </w:tc>
        <w:tc>
          <w:tcPr>
            <w:tcW w:type="dxa" w:w="32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제VI장</w:t>
            </w:r>
          </w:p>
        </w:tc>
        <w:tc>
          <w:tcPr>
            <w:tcW w:type="dxa" w:w="11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high</w:t>
            </w:r>
          </w:p>
        </w:tc>
      </w:tr>
      <w:tr>
        <w:tc>
          <w:tcPr>
            <w:tcW w:type="dxa" w:w="2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S-DG</w:t>
            </w:r>
          </w:p>
        </w:tc>
        <w:tc>
          <w:tcPr>
            <w:tcW w:type="dxa" w:w="26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dangerous_goods</w:t>
            </w:r>
          </w:p>
        </w:tc>
        <w:tc>
          <w:tcPr>
            <w:tcW w:type="dxa" w:w="32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제VII장</w:t>
            </w:r>
          </w:p>
        </w:tc>
        <w:tc>
          <w:tcPr>
            <w:tcW w:type="dxa" w:w="11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high</w:t>
            </w:r>
          </w:p>
        </w:tc>
      </w:tr>
    </w:tbl>
    <w:p>
      <w:pPr>
        <w:spacing w:after="200" w:before="80"/>
        <w:jc w:val="center"/>
      </w:pPr>
      <w:r>
        <w:rPr>
          <w:i/>
          <w:iCs/>
          <w:color w:val="5A6B82"/>
          <w:sz w:val="18"/>
          <w:szCs w:val="18"/>
        </w:rPr>
        <w:t xml:space="preserve">[표 8] SOLAS 章 → 제약 노드 매핑 (COPRAR의 동일 제약과 공유되어 근거 보강)</w:t>
      </w:r>
    </w:p>
    <w:p>
      <w:pPr>
        <w:spacing w:after="120" w:line="300"/>
      </w:pPr>
      <w:r>
        <w:rPr>
          <w:b/>
          <w:bCs/>
        </w:rPr>
        <w:t xml:space="preserve">COPRAR KG와의 결합: </w:t>
      </w:r>
      <w:r>
        <w:t xml:space="preserve">SOLAS의 Constraint(stability·weight·securing·DG)는 COPRAR KG의 동일 type 제약과 같은 키로 연결된다. 따라서 한 제약에 대해 “COPRAR 규정 근거(어떻게 기재)”와 “SOLAS 안전 근거(왜 안전)”를 함께 인용하는 다중 근거 설명이 가능하다.</w:t>
      </w:r>
    </w:p>
    <w:p>
      <w:pPr>
        <w:pStyle w:val="Heading2"/>
      </w:pPr>
      <w:r>
        <w:t xml:space="preserve">6.4 Cypher 템플릿 (발췌)</w:t>
      </w:r>
    </w:p>
    <w:p>
      <w:pPr>
        <w:pBdr>
          <w:left w:val="single" w:color="2E75B6" w:sz="18" w:space="8"/>
        </w:pBdr>
        <w:shd w:fill="F4F6F9" w:val="clear"/>
        <w:spacing w:after="120"/>
      </w:pPr>
      <w:r>
        <w:rPr>
          <w:rFonts w:ascii="Consolas" w:cs="Consolas" w:eastAsia="Consolas" w:hAnsi="Consolas"/>
          <w:color w:val="1F3050"/>
          <w:sz w:val="18"/>
          <w:szCs w:val="18"/>
        </w:rPr>
        <w:t xml:space="preserve">// [Q2] 사고가 촉발한 개정과 바뀐 章 (인과 설명)</w:t>
      </w:r>
      <w:r>
        <w:br/>
      </w:r>
      <w:r>
        <w:rPr>
          <w:rFonts w:ascii="Consolas" w:cs="Consolas" w:eastAsia="Consolas" w:hAnsi="Consolas"/>
          <w:color w:val="1F3050"/>
          <w:sz w:val="18"/>
          <w:szCs w:val="18"/>
        </w:rPr>
        <w:t xml:space="preserve">MATCH (e:Event)&lt;-[:TRIGGERED_BY]-(a:Amendment)-[:AMENDS]-&gt;(c:Chapter)</w:t>
      </w:r>
      <w:r>
        <w:br/>
      </w:r>
      <w:r>
        <w:rPr>
          <w:rFonts w:ascii="Consolas" w:cs="Consolas" w:eastAsia="Consolas" w:hAnsi="Consolas"/>
          <w:color w:val="1F3050"/>
          <w:sz w:val="18"/>
          <w:szCs w:val="18"/>
        </w:rPr>
        <w:t xml:space="preserve">RETURN e.event_name, a.year, a.eif_date, collect(c.chapter_id) ORDER BY a.year;</w:t>
      </w:r>
      <w:r>
        <w:br/>
      </w:r>
      <w:r>
        <w:rPr>
          <w:rFonts w:ascii="Consolas" w:cs="Consolas" w:eastAsia="Consolas" w:hAnsi="Consolas"/>
          <w:color w:val="1F3050"/>
          <w:sz w:val="18"/>
          <w:szCs w:val="18"/>
        </w:rPr>
        <w:t xml:space="preserve"/>
      </w:r>
      <w:r>
        <w:br/>
      </w:r>
      <w:r>
        <w:rPr>
          <w:rFonts w:ascii="Consolas" w:cs="Consolas" w:eastAsia="Consolas" w:hAnsi="Consolas"/>
          <w:color w:val="1F3050"/>
          <w:sz w:val="18"/>
          <w:szCs w:val="18"/>
        </w:rPr>
        <w:t xml:space="preserve">// [Q6] 복원성 제약 위반 + SOLAS 근거 동시 제시 (xAI)</w:t>
      </w:r>
      <w:r>
        <w:br/>
      </w:r>
      <w:r>
        <w:rPr>
          <w:rFonts w:ascii="Consolas" w:cs="Consolas" w:eastAsia="Consolas" w:hAnsi="Consolas"/>
          <w:color w:val="1F3050"/>
          <w:sz w:val="18"/>
          <w:szCs w:val="18"/>
        </w:rPr>
        <w:t xml:space="preserve">MATCH (con:Constraint {type:'stability'})-[:EVIDENCED_BY]-&gt;(ch:EvidenceChunk)</w:t>
      </w:r>
      <w:r>
        <w:br/>
      </w:r>
      <w:r>
        <w:rPr>
          <w:rFonts w:ascii="Consolas" w:cs="Consolas" w:eastAsia="Consolas" w:hAnsi="Consolas"/>
          <w:color w:val="1F3050"/>
          <w:sz w:val="18"/>
          <w:szCs w:val="18"/>
        </w:rPr>
        <w:t xml:space="preserve">OPTIONAL MATCH (con)-[:APPLIES_TO]-&gt;(c:Container)-[:ASSIGNED_TO]-&gt;(s:Slot)</w:t>
      </w:r>
      <w:r>
        <w:br/>
      </w:r>
      <w:r>
        <w:rPr>
          <w:rFonts w:ascii="Consolas" w:cs="Consolas" w:eastAsia="Consolas" w:hAnsi="Consolas"/>
          <w:color w:val="1F3050"/>
          <w:sz w:val="18"/>
          <w:szCs w:val="18"/>
        </w:rPr>
        <w:t xml:space="preserve">RETURN con.rule_text, ch.vector_ref AS evidence, c.container_id, s.bay, s.tier;</w:t>
      </w:r>
    </w:p>
    <w:p>
      <w:r>
        <w:br w:type="page"/>
      </w:r>
    </w:p>
    <w:p>
      <w:pPr>
        <w:pStyle w:val="Heading1"/>
      </w:pPr>
      <w:r>
        <w:t xml:space="preserve">7. 통합 활용 시나리오</w:t>
      </w:r>
    </w:p>
    <w:p>
      <w:pPr>
        <w:spacing w:after="120" w:line="300"/>
      </w:pPr>
      <w:r>
        <w:t xml:space="preserve">운영자가 “이 중량화물을 이렇게 배치하면 복원성에 문제 없나?”를 질의한 경우:</w:t>
      </w:r>
    </w:p>
    <w:p>
      <w:pPr>
        <w:pStyle w:val="ListParagraph"/>
        <w:numPr>
          <w:ilvl w:val="0"/>
          <w:numId w:val="3"/>
        </w:numPr>
        <w:spacing w:after="60" w:line="290"/>
      </w:pPr>
      <w:r>
        <w:rPr>
          <w:b/>
          <w:bCs/>
        </w:rPr>
        <w:t xml:space="preserve">L7 SLM: </w:t>
      </w:r>
      <w:r>
        <w:t xml:space="preserve">SFT(port_link/chapter_qa)로 학습된 PortSLM이 복원성 관련 질의로 파악, text2Cypher 생성.</w:t>
      </w:r>
    </w:p>
    <w:p>
      <w:pPr>
        <w:pStyle w:val="ListParagraph"/>
        <w:numPr>
          <w:ilvl w:val="0"/>
          <w:numId w:val="3"/>
        </w:numPr>
        <w:spacing w:after="60" w:line="290"/>
      </w:pPr>
      <w:r>
        <w:rPr>
          <w:b/>
          <w:bCs/>
        </w:rPr>
        <w:t xml:space="preserve">⑤ GraphRAG: </w:t>
      </w:r>
      <w:r>
        <w:t xml:space="preserve">Cypher(Q6)로 Constraint(stability)의 EVIDENCED_BY 근거 章(II-1)과 vector_ref 획득.</w:t>
      </w:r>
    </w:p>
    <w:p>
      <w:pPr>
        <w:pStyle w:val="ListParagraph"/>
        <w:numPr>
          <w:ilvl w:val="0"/>
          <w:numId w:val="3"/>
        </w:numPr>
        <w:spacing w:after="60" w:line="290"/>
      </w:pPr>
      <w:r>
        <w:rPr>
          <w:b/>
          <w:bCs/>
        </w:rPr>
        <w:t xml:space="preserve">④ 문서RAG: </w:t>
      </w:r>
      <w:r>
        <w:t xml:space="preserve">vector_ref로 제II-1장 청크 원문 조회(손상복원성·횡경사 15도 등).</w:t>
      </w:r>
    </w:p>
    <w:p>
      <w:pPr>
        <w:pStyle w:val="ListParagraph"/>
        <w:numPr>
          <w:ilvl w:val="0"/>
          <w:numId w:val="3"/>
        </w:numPr>
        <w:spacing w:after="60" w:line="290"/>
      </w:pPr>
      <w:r>
        <w:rPr>
          <w:b/>
          <w:bCs/>
        </w:rPr>
        <w:t xml:space="preserve">L4 설명: </w:t>
      </w:r>
      <w:r>
        <w:t xml:space="preserve">엔진 중량분포 결과 + SOLAS II-1 근거 + (있다면) 제XII장 중량화물 근거를 융합해 “복원성 목표 충족, 근거: SOLAS II-1 손상복원성” 설명 생성.</w:t>
      </w:r>
    </w:p>
    <w:p>
      <w:pPr>
        <w:pStyle w:val="Heading2"/>
      </w:pPr>
      <w:r>
        <w:t xml:space="preserve">7.1 산출물–아키텍처 매핑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산출물</w:t>
            </w:r>
          </w:p>
        </w:tc>
        <w:tc>
          <w:tcPr>
            <w:tcW w:type="dxa" w:w="348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L-레이어</w:t>
            </w:r>
          </w:p>
        </w:tc>
        <w:tc>
          <w:tcPr>
            <w:tcW w:type="dxa" w:w="348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역할</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chunks.jsonl</w:t>
            </w:r>
          </w:p>
        </w:tc>
        <w:tc>
          <w:tcPr>
            <w:tcW w:type="dxa" w:w="34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L1/L5</w:t>
            </w:r>
          </w:p>
        </w:tc>
        <w:tc>
          <w:tcPr>
            <w:tcW w:type="dxa" w:w="34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章·개정 청크 — 단일 원천</w:t>
            </w:r>
          </w:p>
        </w:tc>
      </w:tr>
      <w:tr>
        <w:tc>
          <w:tcPr>
            <w:tcW w:type="dxa" w:w="2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sft.jsonl</w:t>
            </w:r>
          </w:p>
        </w:tc>
        <w:tc>
          <w:tcPr>
            <w:tcW w:type="dxa" w:w="348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L7 도메인 SLM</w:t>
            </w:r>
          </w:p>
        </w:tc>
        <w:tc>
          <w:tcPr>
            <w:tcW w:type="dxa" w:w="348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안전 근거 설명·규정 Q&amp;A</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vector_*</w:t>
            </w:r>
          </w:p>
        </w:tc>
        <w:tc>
          <w:tcPr>
            <w:tcW w:type="dxa" w:w="34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L5 문서 RAG</w:t>
            </w:r>
          </w:p>
        </w:tc>
        <w:tc>
          <w:tcPr>
            <w:tcW w:type="dxa" w:w="34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BGE-M3 임베딩 → 근거 검색</w:t>
            </w:r>
          </w:p>
        </w:tc>
      </w:tr>
      <w:tr>
        <w:tc>
          <w:tcPr>
            <w:tcW w:type="dxa" w:w="2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nodes/rels.csv</w:t>
            </w:r>
          </w:p>
        </w:tc>
        <w:tc>
          <w:tcPr>
            <w:tcW w:type="dxa" w:w="348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L2/L3 온톨로지·KG</w:t>
            </w:r>
          </w:p>
        </w:tc>
        <w:tc>
          <w:tcPr>
            <w:tcW w:type="dxa" w:w="348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章·개정·사건·제약 그래프</w:t>
            </w:r>
          </w:p>
        </w:tc>
      </w:tr>
      <w:tr>
        <w:tc>
          <w:tcPr>
            <w:tcW w:type="dxa" w:w="2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*.cypher</w:t>
            </w:r>
          </w:p>
        </w:tc>
        <w:tc>
          <w:tcPr>
            <w:tcW w:type="dxa" w:w="34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L5 GraphRAG</w:t>
            </w:r>
          </w:p>
        </w:tc>
        <w:tc>
          <w:tcPr>
            <w:tcW w:type="dxa" w:w="348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인과·근거 경로 질의</w:t>
            </w:r>
          </w:p>
        </w:tc>
      </w:tr>
    </w:tbl>
    <w:p>
      <w:pPr>
        <w:spacing w:after="200" w:before="80"/>
        <w:jc w:val="center"/>
      </w:pPr>
      <w:r>
        <w:rPr>
          <w:i/>
          <w:iCs/>
          <w:color w:val="5A6B82"/>
          <w:sz w:val="18"/>
          <w:szCs w:val="18"/>
        </w:rPr>
        <w:t xml:space="preserve">[표 9] 산출물–레이어 매핑</w:t>
      </w:r>
    </w:p>
    <w:p>
      <w:pPr>
        <w:pStyle w:val="Heading1"/>
      </w:pPr>
      <w:r>
        <w:t xml:space="preserve">8. 산출 파일 목록 및 다음 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파일</w:t>
            </w:r>
          </w:p>
        </w:tc>
        <w:tc>
          <w:tcPr>
            <w:tcW w:type="dxa" w:w="110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건수</w:t>
            </w:r>
          </w:p>
        </w:tc>
        <w:tc>
          <w:tcPr>
            <w:tcW w:type="dxa" w:w="4860"/>
            <w:tcBorders>
              <w:top w:val="single" w:color="C9D3E0" w:sz="1"/>
              <w:left w:val="single" w:color="C9D3E0" w:sz="1"/>
              <w:bottom w:val="single" w:color="C9D3E0" w:sz="1"/>
              <w:right w:val="single" w:color="C9D3E0" w:sz="1"/>
            </w:tcBorders>
            <w:shd w:fill="1A2E4A" w:val="clear"/>
            <w:tcMar>
              <w:top w:type="dxa" w:w="70"/>
              <w:left w:type="dxa" w:w="110"/>
              <w:bottom w:type="dxa" w:w="70"/>
              <w:right w:type="dxa" w:w="110"/>
            </w:tcMar>
            <w:vAlign w:val="center"/>
          </w:tcPr>
          <w:p>
            <w:pPr>
              <w:spacing w:line="270"/>
              <w:jc w:val="center"/>
            </w:pPr>
            <w:r>
              <w:rPr>
                <w:b/>
                <w:bCs/>
                <w:color w:val="FFFFFF"/>
                <w:sz w:val="19"/>
                <w:szCs w:val="19"/>
              </w:rPr>
              <w:t xml:space="preserve">설명</w:t>
            </w:r>
          </w:p>
        </w:tc>
      </w:tr>
      <w:tr>
        <w:tc>
          <w:tcPr>
            <w:tcW w:type="dxa" w:w="3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chunks/solas_chunks.jsonl</w:t>
            </w:r>
          </w:p>
        </w:tc>
        <w:tc>
          <w:tcPr>
            <w:tcW w:type="dxa" w:w="11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29</w:t>
            </w:r>
          </w:p>
        </w:tc>
        <w:tc>
          <w:tcPr>
            <w:tcW w:type="dxa" w:w="4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章/개정/개념 청크</w:t>
            </w:r>
          </w:p>
        </w:tc>
      </w:tr>
      <w:tr>
        <w:tc>
          <w:tcPr>
            <w:tcW w:type="dxa" w:w="3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sft/solas_sft.jsonl</w:t>
            </w:r>
          </w:p>
        </w:tc>
        <w:tc>
          <w:tcPr>
            <w:tcW w:type="dxa" w:w="11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17</w:t>
            </w:r>
          </w:p>
        </w:tc>
        <w:tc>
          <w:tcPr>
            <w:tcW w:type="dxa" w:w="48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6 task SFT (chat+평면)</w:t>
            </w:r>
          </w:p>
        </w:tc>
      </w:tr>
      <w:tr>
        <w:tc>
          <w:tcPr>
            <w:tcW w:type="dxa" w:w="3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embedding/vector_schema.json</w:t>
            </w:r>
          </w:p>
        </w:tc>
        <w:tc>
          <w:tcPr>
            <w:tcW w:type="dxa" w:w="11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w:t>
            </w:r>
          </w:p>
        </w:tc>
        <w:tc>
          <w:tcPr>
            <w:tcW w:type="dxa" w:w="4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벡터DB 컬렉션 스키마</w:t>
            </w:r>
          </w:p>
        </w:tc>
      </w:tr>
      <w:tr>
        <w:tc>
          <w:tcPr>
            <w:tcW w:type="dxa" w:w="3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embedding/vector_records.jsonl</w:t>
            </w:r>
          </w:p>
        </w:tc>
        <w:tc>
          <w:tcPr>
            <w:tcW w:type="dxa" w:w="11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29</w:t>
            </w:r>
          </w:p>
        </w:tc>
        <w:tc>
          <w:tcPr>
            <w:tcW w:type="dxa" w:w="48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Chroma/pgvector 적재 레코드</w:t>
            </w:r>
          </w:p>
        </w:tc>
      </w:tr>
      <w:tr>
        <w:tc>
          <w:tcPr>
            <w:tcW w:type="dxa" w:w="3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graphrag/nodes_*.csv</w:t>
            </w:r>
          </w:p>
        </w:tc>
        <w:tc>
          <w:tcPr>
            <w:tcW w:type="dxa" w:w="11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7</w:t>
            </w:r>
          </w:p>
        </w:tc>
        <w:tc>
          <w:tcPr>
            <w:tcW w:type="dxa" w:w="4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KG 노드 (76)</w:t>
            </w:r>
          </w:p>
        </w:tc>
      </w:tr>
      <w:tr>
        <w:tc>
          <w:tcPr>
            <w:tcW w:type="dxa" w:w="3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graphrag/rels_*.csv</w:t>
            </w:r>
          </w:p>
        </w:tc>
        <w:tc>
          <w:tcPr>
            <w:tcW w:type="dxa" w:w="11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7</w:t>
            </w:r>
          </w:p>
        </w:tc>
        <w:tc>
          <w:tcPr>
            <w:tcW w:type="dxa" w:w="48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KG 엣지</w:t>
            </w:r>
          </w:p>
        </w:tc>
      </w:tr>
      <w:tr>
        <w:tc>
          <w:tcPr>
            <w:tcW w:type="dxa" w:w="34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graphrag/cypher_templates.cypher</w:t>
            </w:r>
          </w:p>
        </w:tc>
        <w:tc>
          <w:tcPr>
            <w:tcW w:type="dxa" w:w="110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6</w:t>
            </w:r>
          </w:p>
        </w:tc>
        <w:tc>
          <w:tcPr>
            <w:tcW w:type="dxa" w:w="4860"/>
            <w:tcBorders>
              <w:top w:val="single" w:color="C9D3E0" w:sz="1"/>
              <w:left w:val="single" w:color="C9D3E0" w:sz="1"/>
              <w:bottom w:val="single" w:color="C9D3E0" w:sz="1"/>
              <w:right w:val="single" w:color="C9D3E0" w:sz="1"/>
            </w:tcBorders>
            <w:shd w:fill="FFFFFF"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text2Cypher 템플릿</w:t>
            </w:r>
          </w:p>
        </w:tc>
      </w:tr>
      <w:tr>
        <w:tc>
          <w:tcPr>
            <w:tcW w:type="dxa" w:w="34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graphrag/neo4j_import.sh</w:t>
            </w:r>
          </w:p>
        </w:tc>
        <w:tc>
          <w:tcPr>
            <w:tcW w:type="dxa" w:w="110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1</w:t>
            </w:r>
          </w:p>
        </w:tc>
        <w:tc>
          <w:tcPr>
            <w:tcW w:type="dxa" w:w="4860"/>
            <w:tcBorders>
              <w:top w:val="single" w:color="C9D3E0" w:sz="1"/>
              <w:left w:val="single" w:color="C9D3E0" w:sz="1"/>
              <w:bottom w:val="single" w:color="C9D3E0" w:sz="1"/>
              <w:right w:val="single" w:color="C9D3E0" w:sz="1"/>
            </w:tcBorders>
            <w:shd w:fill="F7F9FC" w:val="clear"/>
            <w:tcMar>
              <w:top w:type="dxa" w:w="70"/>
              <w:left w:type="dxa" w:w="110"/>
              <w:bottom w:type="dxa" w:w="70"/>
              <w:right w:type="dxa" w:w="110"/>
            </w:tcMar>
            <w:vAlign w:val="center"/>
          </w:tcPr>
          <w:p>
            <w:pPr>
              <w:spacing w:line="270"/>
              <w:jc w:val="left"/>
            </w:pPr>
            <w:r>
              <w:rPr>
                <w:b w:val="false"/>
                <w:bCs w:val="false"/>
                <w:color w:val="1F2937"/>
                <w:sz w:val="18"/>
                <w:szCs w:val="18"/>
              </w:rPr>
              <w:t xml:space="preserve">Neo4j 적재 스크립트</w:t>
            </w:r>
          </w:p>
        </w:tc>
      </w:tr>
    </w:tbl>
    <w:p>
      <w:pPr>
        <w:spacing w:after="200" w:before="80"/>
        <w:jc w:val="center"/>
      </w:pPr>
      <w:r>
        <w:rPr>
          <w:i/>
          <w:iCs/>
          <w:color w:val="5A6B82"/>
          <w:sz w:val="18"/>
          <w:szCs w:val="18"/>
        </w:rPr>
        <w:t xml:space="preserve">[표 10] 산출 파일</w:t>
      </w:r>
    </w:p>
    <w:p>
      <w:pPr>
        <w:pStyle w:val="Heading2"/>
      </w:pPr>
      <w:r>
        <w:t xml:space="preserve">8.1 다음 단계</w:t>
      </w:r>
    </w:p>
    <w:p>
      <w:pPr>
        <w:pStyle w:val="ListParagraph"/>
        <w:numPr>
          <w:ilvl w:val="0"/>
          <w:numId w:val="2"/>
        </w:numPr>
        <w:spacing w:after="60" w:line="290"/>
      </w:pPr>
      <w:r>
        <w:t xml:space="preserve">COPRAR·SOLAS 컬렉션을 동일 벡터DB에 통합 적재하고, “적재 규칙(COPRAR)” vs “안전 근거(SOLAS)” 라우팅 또는 융합 검색 구성.</w:t>
      </w:r>
    </w:p>
    <w:p>
      <w:pPr>
        <w:pStyle w:val="ListParagraph"/>
        <w:numPr>
          <w:ilvl w:val="0"/>
          <w:numId w:val="2"/>
        </w:numPr>
        <w:spacing w:after="60" w:line="290"/>
      </w:pPr>
      <w:r>
        <w:t xml:space="preserve">Constraint(stability·weight·securing·DG)를 COPRAR KG·RL 보상·검증 5종과 같은 키로 병합해 다중 근거 설명 강화.</w:t>
      </w:r>
    </w:p>
    <w:p>
      <w:pPr>
        <w:pStyle w:val="ListParagraph"/>
        <w:numPr>
          <w:ilvl w:val="0"/>
          <w:numId w:val="2"/>
        </w:numPr>
        <w:spacing w:after="60" w:line="290"/>
      </w:pPr>
      <w:r>
        <w:t xml:space="preserve">ISPS·IMDG·터미널 SOP·사고보고서 확보 시 동일 파이프라인으로 청킹·SFT·KG 확장 — 특히 사고보고서는 Event 노드로 SOLAS 개정 인과와 연결.</w:t>
      </w:r>
    </w:p>
    <w:p>
      <w:pPr>
        <w:pStyle w:val="ListParagraph"/>
        <w:numPr>
          <w:ilvl w:val="0"/>
          <w:numId w:val="2"/>
        </w:numPr>
        <w:spacing w:after="60" w:line="290"/>
      </w:pPr>
      <w:r>
        <w:t xml:space="preserve">SFT를 task당 40~120건으로 증량, RAGAS로 port_relevance=high 청크의 Top-k 포함률 측정.</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82"/>
        <w:sz w:val="16"/>
        <w:szCs w:val="16"/>
      </w:rPr>
      <w:t xml:space="preserve">PortAgent · SOLAS 1974 기반 · </w:t>
    </w:r>
    <w:r>
      <w:rPr>
        <w:color w:val="5A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jc w:val="right"/>
    </w:pPr>
    <w:r>
      <w:rPr>
        <w:color w:val="5A6B82"/>
        <w:sz w:val="16"/>
        <w:szCs w:val="16"/>
      </w:rPr>
      <w:t xml:space="preserve">PortSLM 통합 데이터 파이프라인 설계서 — SOLAS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200" w:before="320"/>
      <w:outlineLvl w:val="0"/>
    </w:pPr>
    <w:rPr>
      <w:rFonts w:ascii="Arial" w:cs="Arial" w:eastAsia="Arial" w:hAnsi="Arial"/>
      <w:b/>
      <w:bCs/>
      <w:color w:val="1A2E4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4195bcbf0506b12a12bd367cb1545ff08e4c98.png"/><Relationship Id="rId10" Type="http://schemas.openxmlformats.org/officeDocument/2006/relationships/image" Target="media/f5bd9aaa66d72ea411befc465ea169a791276cd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2026-06-13T07:40:29.503Z</dcterms:created>
  <dcterms:modified xsi:type="dcterms:W3CDTF">2026-06-13T07:40:29.513Z</dcterms:modified>
</cp:coreProperties>
</file>

<file path=docProps/custom.xml><?xml version="1.0" encoding="utf-8"?>
<Properties xmlns="http://schemas.openxmlformats.org/officeDocument/2006/custom-properties" xmlns:vt="http://schemas.openxmlformats.org/officeDocument/2006/docPropsVTypes"/>
</file>