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spacing w:after="80" w:before="200"/>
      </w:pPr>
      <w:r>
        <w:rPr>
          <w:b/>
          <w:bCs/>
          <w:color w:val="1F3864"/>
          <w:sz w:val="36"/>
          <w:szCs w:val="36"/>
        </w:rPr>
        <w:t xml:space="preserve">BAPLIE 기반 항만 특화 SLM 파인튜닝 데이터셋 설계서</w:t>
      </w:r>
    </w:p>
    <w:p>
      <w:pPr>
        <w:spacing w:after="200"/>
      </w:pPr>
      <w:r>
        <w:rPr>
          <w:color w:val="595959"/>
          <w:sz w:val="22"/>
          <w:szCs w:val="22"/>
        </w:rPr>
        <w:t xml:space="preserve">UN/EDIFACT BAPLIE (D.13B, SMDG MIG v3.1.1) 베이플랜/적치 현황 메시지 활용</w:t>
      </w:r>
    </w:p>
    <w:p>
      <w:pPr>
        <w:spacing w:after="240"/>
      </w:pPr>
      <w:r>
        <w:rPr>
          <w:i/>
          <w:iCs/>
          <w:color w:val="595959"/>
          <w:sz w:val="20"/>
          <w:szCs w:val="20"/>
        </w:rPr>
        <w:t xml:space="preserve">PortAgent 프로젝트 · 4개 SFT 데이터셋 유형 · MOVINS 설계서와 동일 구조</w:t>
      </w:r>
    </w:p>
    <w:p>
      <w:pPr>
        <w:pStyle w:val="Heading1"/>
      </w:pPr>
      <w:r>
        <w:t xml:space="preserve">1. 개요</w:t>
      </w:r>
    </w:p>
    <w:p>
      <w:pPr>
        <w:spacing w:after="120"/>
      </w:pPr>
      <w:r>
        <w:t xml:space="preserve">본 문서는 SMDG BAPLIE MIG(v3.1.1, D.13B)를 항만 특화 SLM 파인튜닝과 RAG Agent 학습에 활용하기 위한 4개 SFT 데이터셋 유형을 정의한다. BAPLIE는 컨테이너선의 적재 현황(점유·공실 위치)을 전송하는 상태 스냅샷 메시지로, PortAgent의 구조화 데이터 9종 중 핵심 입력원이자 RL 환경의 초기 상태(state)를 정의한다.</w:t>
      </w:r>
    </w:p>
    <w:p>
      <w:pPr>
        <w:spacing w:after="120"/>
      </w:pPr>
      <w:r>
        <w:t xml:space="preserve">MOVINS가 '무엇을 어떻게 작업하라'는 지시 메시지라면, BAPLIE는 그 결과인 '현재 배에 무엇이 어디 실려 있는가'라는 상태 스냅샷이다. 두 메시지는 세그먼트 구조를 공유하므로, 본 데이터셋은 앞서 작성한 MOVINS 데이터셋과 동일한 4유형 구조를 따르며 상호 보완된다.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2600"/>
        <w:gridCol w:w="20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유형</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데이터셋 파일</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방향/목적</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대응 에이전트</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① NL→BAPLIE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baplie_01_nl2baplie_sft.jsonl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자연어 상태 → BAPLIE 세그먼트 생성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State Ingestion 보조</w:t>
            </w:r>
          </w:p>
        </w:tc>
      </w:tr>
      <w:tr>
        <w:tc>
          <w:tcPr>
            <w:tcW w:type="dxa" w:w="15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② BAPLIE→NL</w:t>
            </w:r>
          </w:p>
        </w:tc>
        <w:tc>
          <w:tcPr>
            <w:tcW w:type="dxa" w:w="32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baplie_02_baplie2nl_sft.jsonl</w:t>
            </w:r>
          </w:p>
        </w:tc>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세그먼트 → 자연어 설명 (역방향)</w:t>
            </w:r>
          </w:p>
        </w:tc>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④ GraphRAG Explanation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③ 세그먼트 Q&amp;A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baplie_03_segment_qa_sft.jsonl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구조·코드 사전 Q&amp;A (인용 기반)</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④ Explanation / RAG</w:t>
            </w:r>
          </w:p>
        </w:tc>
      </w:tr>
      <w:tr>
        <w:tc>
          <w:tcPr>
            <w:tcW w:type="dxa" w:w="15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④ 위반/상태 진단</w:t>
            </w:r>
          </w:p>
        </w:tc>
        <w:tc>
          <w:tcPr>
            <w:tcW w:type="dxa" w:w="32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baplie_04_violation_diagnosis_sft.jsonl</w:t>
            </w:r>
          </w:p>
        </w:tc>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포맷·물리 제약 위반 탐지</w:t>
            </w:r>
          </w:p>
        </w:tc>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③ Constraint Validator</w:t>
            </w:r>
          </w:p>
        </w:tc>
      </w:tr>
    </w:tbl>
    <w:p>
      <w:pPr>
        <w:spacing w:after="120"/>
      </w:pPr>
      <w:r>
        <w:t xml:space="preserve"/>
      </w:r>
    </w:p>
    <w:p>
      <w:pPr>
        <w:spacing w:after="120"/>
      </w:pPr>
      <w:r>
        <w:rPr>
          <w:i/>
          <w:iCs/>
        </w:rPr>
        <w:t xml:space="preserve">각 데이터셋은 messages 형식(system/user/assistant)의 JSONL이며 유형별 10개 샘플을 시드로 제공한다. 모든 assistant 응답은 해당 세그먼트·Segment Group·표준 코드를 명시 인용하여 grounding을 강화했다.</w:t>
      </w:r>
    </w:p>
    <w:p>
      <w:pPr>
        <w:pStyle w:val="Heading1"/>
      </w:pPr>
      <w:r>
        <w:t xml:space="preserve">2. 유형 ① NL → BAPLIE 세그먼트 생성</w:t>
      </w:r>
    </w:p>
    <w:p>
      <w:pPr>
        <w:pStyle w:val="Heading2"/>
      </w:pPr>
      <w:r>
        <w:t xml:space="preserve">2.1 목적과 활용</w:t>
      </w:r>
    </w:p>
    <w:p>
      <w:pPr>
        <w:spacing w:after="120"/>
      </w:pPr>
      <w:r>
        <w:t xml:space="preserve">자연어 적치 현황 설명을 입력으로, BAPLIE의 SG6/SG7 세그먼트 블록을 출력으로 하는 instruction 쌍이다. State Ingestion(①) 에이전트가 정형 상태를 BAPLIE 표현으로 직렬화하거나, 합성 BAPLIE 데이터를 생성할 때 활용한다. 셀 위치 ISO 9711(BBBRRTT)과 컨테이너 ISO 6346 규칙이 결정론적이라 정답 자동 검증이 가능하다.</w:t>
      </w:r>
    </w:p>
    <w:p>
      <w:pPr>
        <w:pStyle w:val="Heading2"/>
      </w:pPr>
      <w:r>
        <w:t xml:space="preserve">2.2 샘플 구조</w:t>
      </w:r>
    </w:p>
    <w:p>
      <w:pPr>
        <w:pBdr>
          <w:top w:val="single" w:color="E0E0E0" w:sz="2" w:space="4"/>
          <w:left w:val="single" w:color="2E75B6" w:sz="18" w:space="8"/>
          <w:bottom w:val="single" w:color="E0E0E0" w:sz="2" w:space="4"/>
        </w:pBdr>
        <w:shd w:fill="F2F4F7" w:val="clear"/>
        <w:spacing w:after="120" w:before="80"/>
      </w:pPr>
      <w:r>
        <w:rPr>
          <w:rFonts w:ascii="Consolas" w:cs="Consolas" w:eastAsia="Consolas" w:hAnsi="Consolas"/>
          <w:color w:val="24292E"/>
          <w:sz w:val="18"/>
          <w:szCs w:val="18"/>
        </w:rPr>
        <w:t xml:space="preserve">// user</w:t>
        <w:br/>
        <w:t xml:space="preserve">Bay 001 중앙 row, 갑판 위 첫 tier에 함부르크→싱가포르 행</w:t>
        <w:br/>
        <w:t xml:space="preserve">40피트 빈 컨테이너 SUDU1234569(42G1), 운영사 OOL</w:t>
        <w:br/>
        <w:t xml:space="preserve"/>
        <w:br/>
        <w:t xml:space="preserve">// assistant</w:t>
        <w:br/>
        <w:t xml:space="preserve">LOC+147+0010082:9711:5'   ← Bay001/Row00/Tier82</w:t>
        <w:br/>
        <w:t xml:space="preserve">EQD+CN+SUDU1234569:6346:5+42G1:6346:5+++4'  ← 40ft GP, Empty</w:t>
        <w:br/>
        <w:t xml:space="preserve">NAD+CF+OOL:LINES:306'     ← 운영사 OOL</w:t>
        <w:br/>
        <w:t xml:space="preserve">LOC+9+DEHAM'              ← 적재항 함부르크</w:t>
        <w:br/>
        <w:t xml:space="preserve">LOC+11+SGSIN'             ← 양하항 싱가포르</w:t>
      </w:r>
    </w:p>
    <w:p>
      <w:pPr>
        <w:spacing w:after="120"/>
      </w:pPr>
      <w:r>
        <w:rPr>
          <w:i/>
          <w:iCs/>
        </w:rPr>
        <w:t xml:space="preserve">커버리지: 일반 컨테이너, VGM 중량, OOG flat rack + lost slot, Reefer(TMP/RNG), 위험물(DGS), 핸들링(HAN), 운영사/슬롯소유자(NAD), 메시지 헤더(UNH/BGM/TDT) 등 10종.</w:t>
      </w:r>
    </w:p>
    <w:p>
      <w:pPr>
        <w:pStyle w:val="Heading1"/>
      </w:pPr>
      <w:r>
        <w:t xml:space="preserve">3. 유형 ② BAPLIE → NL 설명 (핵심)</w:t>
      </w:r>
    </w:p>
    <w:p>
      <w:pPr>
        <w:pStyle w:val="Heading2"/>
      </w:pPr>
      <w:r>
        <w:t xml:space="preserve">3.1 목적과 활용</w:t>
      </w:r>
    </w:p>
    <w:p>
      <w:pPr>
        <w:spacing w:after="120"/>
      </w:pPr>
      <w:r>
        <w:t xml:space="preserve">BAPLIE 세그먼트 블록을 입력으로 '이 컨테이너/위치가 무엇을 의미하는가'를 세그먼트별로 자연어 설명하게 한다. PortAgent의 ④ GraphRAG Explanation 에이전트 역할과 정확히 일치하며, State Ingestion(①)이 파싱한 상태를 사람이 읽을 수 있게 변환하는 핵심 능력을 학습한다. SLM의 설명 전용 역할 경계와도 부합한다.</w:t>
      </w:r>
    </w:p>
    <w:p>
      <w:pPr>
        <w:pStyle w:val="Heading2"/>
      </w:pPr>
      <w:r>
        <w:t xml:space="preserve">3.2 커버리지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설명 대상</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포함 샘플</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일반 적치</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LOC/EQD/NAD/LOC(POL·POD) 해석</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중량</w:t>
            </w:r>
          </w:p>
        </w:tc>
        <w:tc>
          <w:tcPr>
            <w:tcW w:type="dxa" w:w="6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VGM·AET·Tare 중량 자격 해석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OOG / lost slot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DIM 오버폭 + RFF+AWN supporting location</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Reefer</w:t>
            </w:r>
          </w:p>
        </w:tc>
        <w:tc>
          <w:tcPr>
            <w:tcW w:type="dxa" w:w="6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TMP 설정 + RNG 범위 해석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위험물</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DGS+IMD 클래스·UNDG·인화점·EMS</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헤더·본선</w:t>
            </w:r>
          </w:p>
        </w:tc>
        <w:tc>
          <w:tcPr>
            <w:tcW w:type="dxa" w:w="6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UNH/BGM 타입 + TDT 본선정보</w:t>
            </w:r>
          </w:p>
        </w:tc>
      </w:tr>
    </w:tbl>
    <w:p>
      <w:pPr>
        <w:spacing w:after="120"/>
      </w:pPr>
      <w:r>
        <w:t xml:space="preserve"/>
      </w:r>
    </w:p>
    <w:p>
      <w:pPr>
        <w:spacing w:after="120"/>
      </w:pPr>
      <w:r>
        <w:rPr>
          <w:i/>
          <w:iCs/>
        </w:rPr>
        <w:t xml:space="preserve">각 응답은 세그먼트를 분해(LOC→셀, EQD→장비, MEA→중량, DGS→위험물)하고 마지막에 1줄 요약을 제공한다. 이 분해-요약 구조는 R1~R15 reward decomposition처럼 상태 근거를 항목별로 라벨링하는 패턴과 호환된다.</w:t>
      </w:r>
    </w:p>
    <w:p>
      <w:pPr>
        <w:pStyle w:val="Heading1"/>
      </w:pPr>
      <w:r>
        <w:t xml:space="preserve">4. 유형 ③ 세그먼트·코드 사전 Q&amp;A</w:t>
      </w:r>
    </w:p>
    <w:p>
      <w:pPr>
        <w:pStyle w:val="Heading2"/>
      </w:pPr>
      <w:r>
        <w:t xml:space="preserve">4.1 목적과 활용</w:t>
      </w:r>
    </w:p>
    <w:p>
      <w:pPr>
        <w:spacing w:after="120"/>
      </w:pPr>
      <w:r>
        <w:t xml:space="preserve">BAPLIE MIG의 12개 Segment Group 구조, 세그먼트 정의, 표준 코드 체계를 Q&amp;A로 변환한다. SOP 인용 기반 hallucination 감소 패턴과 가장 잘 맞으며, RAG 코퍼스의 grounding 소스로도 직접 활용된다. 모든 답변은 출처 세그먼트/그룹을 명시한다.</w:t>
      </w:r>
    </w:p>
    <w:p>
      <w:pPr>
        <w:pStyle w:val="Heading2"/>
      </w:pPr>
      <w:r>
        <w:t xml:space="preserve">4.2 커버리지</w:t>
      </w:r>
    </w:p>
    <w:p>
      <w:pPr>
        <w:pStyle w:val="ListParagraph"/>
        <w:numPr>
          <w:ilvl w:val="0"/>
          <w:numId w:val="2"/>
        </w:numPr>
        <w:spacing w:after="60"/>
      </w:pPr>
      <w:r>
        <w:t xml:space="preserve">BAPLIE 12개 Segment Group 전체 구조 (SG1~SG12, 특히 SG6→SG7 핵심 계층)</w:t>
      </w:r>
    </w:p>
    <w:p>
      <w:pPr>
        <w:pStyle w:val="ListParagraph"/>
        <w:numPr>
          <w:ilvl w:val="0"/>
          <w:numId w:val="2"/>
        </w:numPr>
        <w:spacing w:after="60"/>
      </w:pPr>
      <w:r>
        <w:t xml:space="preserve">적치 셀 ISO 9711 포맷 </w:t>
      </w:r>
      <w:r>
        <w:rPr>
          <w:rFonts w:ascii="Consolas" w:cs="Consolas" w:eastAsia="Consolas" w:hAnsi="Consolas"/>
          <w:color w:val="1F3864"/>
          <w:sz w:val="20"/>
          <w:szCs w:val="20"/>
        </w:rPr>
        <w:t xml:space="preserve">BBBRRTT</w:t>
      </w:r>
      <w:r>
        <w:t xml:space="preserve"> 및 </w:t>
      </w:r>
      <w:r>
        <w:rPr>
          <w:rFonts w:ascii="Consolas" w:cs="Consolas" w:eastAsia="Consolas" w:hAnsi="Consolas"/>
          <w:color w:val="1F3864"/>
          <w:sz w:val="20"/>
          <w:szCs w:val="20"/>
        </w:rPr>
        <w:t xml:space="preserve">9711:5</w:t>
      </w:r>
      <w:r>
        <w:t xml:space="preserve"> 코드 의미</w:t>
      </w:r>
    </w:p>
    <w:p>
      <w:pPr>
        <w:pStyle w:val="ListParagraph"/>
        <w:numPr>
          <w:ilvl w:val="0"/>
          <w:numId w:val="2"/>
        </w:numPr>
        <w:spacing w:after="60"/>
      </w:pPr>
      <w:r>
        <w:t xml:space="preserve">BGM의 BAPLIE 타입 식별 (Draft/Final × Full/Partial)</w:t>
      </w:r>
    </w:p>
    <w:p>
      <w:pPr>
        <w:pStyle w:val="ListParagraph"/>
        <w:numPr>
          <w:ilvl w:val="0"/>
          <w:numId w:val="2"/>
        </w:numPr>
        <w:spacing w:after="60"/>
      </w:pPr>
      <w:r>
        <w:t xml:space="preserve">MEA 중량 자격 (</w:t>
      </w:r>
      <w:r>
        <w:rPr>
          <w:rFonts w:ascii="Consolas" w:cs="Consolas" w:eastAsia="Consolas" w:hAnsi="Consolas"/>
          <w:color w:val="1F3864"/>
          <w:sz w:val="20"/>
          <w:szCs w:val="20"/>
        </w:rPr>
        <w:t xml:space="preserve">VGM</w:t>
      </w:r>
      <w:r>
        <w:t xml:space="preserve">/</w:t>
      </w:r>
      <w:r>
        <w:rPr>
          <w:rFonts w:ascii="Consolas" w:cs="Consolas" w:eastAsia="Consolas" w:hAnsi="Consolas"/>
          <w:color w:val="1F3864"/>
          <w:sz w:val="20"/>
          <w:szCs w:val="20"/>
        </w:rPr>
        <w:t xml:space="preserve">AET</w:t>
      </w:r>
      <w:r>
        <w:t xml:space="preserve">/</w:t>
      </w:r>
      <w:r>
        <w:rPr>
          <w:rFonts w:ascii="Consolas" w:cs="Consolas" w:eastAsia="Consolas" w:hAnsi="Consolas"/>
          <w:color w:val="1F3864"/>
          <w:sz w:val="20"/>
          <w:szCs w:val="20"/>
        </w:rPr>
        <w:t xml:space="preserve">T</w:t>
      </w:r>
      <w:r>
        <w:t xml:space="preserve">/</w:t>
      </w:r>
      <w:r>
        <w:rPr>
          <w:rFonts w:ascii="Consolas" w:cs="Consolas" w:eastAsia="Consolas" w:hAnsi="Consolas"/>
          <w:color w:val="1F3864"/>
          <w:sz w:val="20"/>
          <w:szCs w:val="20"/>
        </w:rPr>
        <w:t xml:space="preserve">BRK</w:t>
      </w:r>
      <w:r>
        <w:t xml:space="preserve">)과 SOLAS VGM</w:t>
      </w:r>
    </w:p>
    <w:p>
      <w:pPr>
        <w:pStyle w:val="ListParagraph"/>
        <w:numPr>
          <w:ilvl w:val="0"/>
          <w:numId w:val="2"/>
        </w:numPr>
        <w:spacing w:after="60"/>
      </w:pPr>
      <w:r>
        <w:t xml:space="preserve">TMP/RNG Reefer 온도·범위, EQD ISO 6346 사이즈타입·Full/Empty</w:t>
      </w:r>
    </w:p>
    <w:p>
      <w:pPr>
        <w:pStyle w:val="ListParagraph"/>
        <w:numPr>
          <w:ilvl w:val="0"/>
          <w:numId w:val="2"/>
        </w:numPr>
        <w:spacing w:after="60"/>
      </w:pPr>
      <w:r>
        <w:t xml:space="preserve">NAD 당사자 자격 (</w:t>
      </w:r>
      <w:r>
        <w:rPr>
          <w:rFonts w:ascii="Consolas" w:cs="Consolas" w:eastAsia="Consolas" w:hAnsi="Consolas"/>
          <w:color w:val="1F3864"/>
          <w:sz w:val="20"/>
          <w:szCs w:val="20"/>
        </w:rPr>
        <w:t xml:space="preserve">CF</w:t>
      </w:r>
      <w:r>
        <w:t xml:space="preserve">/</w:t>
      </w:r>
      <w:r>
        <w:rPr>
          <w:rFonts w:ascii="Consolas" w:cs="Consolas" w:eastAsia="Consolas" w:hAnsi="Consolas"/>
          <w:color w:val="1F3864"/>
          <w:sz w:val="20"/>
          <w:szCs w:val="20"/>
        </w:rPr>
        <w:t xml:space="preserve">GF</w:t>
      </w:r>
      <w:r>
        <w:t xml:space="preserve">/</w:t>
      </w:r>
      <w:r>
        <w:rPr>
          <w:rFonts w:ascii="Consolas" w:cs="Consolas" w:eastAsia="Consolas" w:hAnsi="Consolas"/>
          <w:color w:val="1F3864"/>
          <w:sz w:val="20"/>
          <w:szCs w:val="20"/>
        </w:rPr>
        <w:t xml:space="preserve">CA</w:t>
      </w:r>
      <w:r>
        <w:t xml:space="preserve">/</w:t>
      </w:r>
      <w:r>
        <w:rPr>
          <w:rFonts w:ascii="Consolas" w:cs="Consolas" w:eastAsia="Consolas" w:hAnsi="Consolas"/>
          <w:color w:val="1F3864"/>
          <w:sz w:val="20"/>
          <w:szCs w:val="20"/>
        </w:rPr>
        <w:t xml:space="preserve">WZ</w:t>
      </w:r>
      <w:r>
        <w:t xml:space="preserve">), DIM OOG 자격코드, DGS 위험물 구조</w:t>
      </w:r>
    </w:p>
    <w:p>
      <w:pPr>
        <w:pStyle w:val="ListParagraph"/>
        <w:numPr>
          <w:ilvl w:val="0"/>
          <w:numId w:val="2"/>
        </w:numPr>
        <w:spacing w:after="60"/>
      </w:pPr>
      <w:r>
        <w:t xml:space="preserve">참조 표준 체계 (UN/LOCODE, ISO 9711/6346, IMO, IMDG, HS, SMDG 306 코드)</w:t>
      </w:r>
    </w:p>
    <w:p>
      <w:pPr>
        <w:pStyle w:val="Heading1"/>
      </w:pPr>
      <w:r>
        <w:t xml:space="preserve">5. 유형 ④ 위반·상태 진단</w:t>
      </w:r>
    </w:p>
    <w:p>
      <w:pPr>
        <w:pStyle w:val="Heading2"/>
      </w:pPr>
      <w:r>
        <w:t xml:space="preserve">5.1 목적과 활용</w:t>
      </w:r>
    </w:p>
    <w:p>
      <w:pPr>
        <w:spacing w:after="120"/>
      </w:pPr>
      <w:r>
        <w:t xml:space="preserve">BAPLIE 스냅샷에서 (a) 포맷 위반과 (b) 물리 적치 제약 위반을 함께 진단한다. PortAgent의 ③ Constraint Validator 에이전트 학습 데이터이며, 적치 제약 상수와 직결된다. 각 샘플은 (문제/관찰 → 영향 → 수정 방법 → 근거) 구조다. MOVINS 유형 ④가 주로 전문 포맷 위반에 집중했다면, BAPLIE는 상태 스냅샷이므로 물리 제약(중량·복원성·격리) 검증이 추가된다.</w:t>
      </w:r>
    </w:p>
    <w:p>
      <w:pPr>
        <w:pStyle w:val="Heading2"/>
      </w:pPr>
      <w:r>
        <w:t xml:space="preserve">5.2 위반 유형 커버리지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구분</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위반 유형</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근거</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포맷</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ISO 9711 셀 자릿수 오류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 SG6 / ISO 9711</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포맷</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양하항(POD) 누락</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LOC SG6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포맷</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TMP 설정값과 RNG 범위 불일치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TMP/RNG SG9</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포맷</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DGS DG class 누락</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DGS SG11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포맷</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OOG lost slot RFF+AWN 누락</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SG6/SG7 OOG</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포맷</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UNH 협회코드(SMDG31) 누락</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UNH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포맷</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VGM 미제공 (AET만)</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MEA SG7 / SOLAS</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포맷</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동일 셀 위치 중복 점유</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LOC SG6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물리</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컬럼 최대중량 145t 초과</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MAX_COL_WT 제약</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물리</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Heavy-Down/Light-Up 위반</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t xml:space="preserve">적치 제약 원칙</w:t>
            </w:r>
          </w:p>
        </w:tc>
      </w:tr>
    </w:tbl>
    <w:p>
      <w:pPr>
        <w:pStyle w:val="Heading1"/>
      </w:pPr>
      <w:r>
        <w:t xml:space="preserve">6. PortAgent 4-Path 아키텍처 연계</w:t>
      </w:r>
    </w:p>
    <w:p>
      <w:pPr>
        <w:pStyle w:val="ListParagraph"/>
        <w:numPr>
          <w:ilvl w:val="0"/>
          <w:numId w:val="3"/>
        </w:numPr>
        <w:spacing w:after="60"/>
      </w:pPr>
      <w:r>
        <w:rPr>
          <w:b/>
          <w:bCs/>
        </w:rPr>
        <w:t xml:space="preserve">SLM Fine-Tuning / Model Repository</w:t>
      </w:r>
      <w:r>
        <w:t xml:space="preserve">: 4개 JSONL을 SFT 데이터로 통합. 유형 2·3으로 BAPLIE 해석·설명 능력을, 유형 4로 상태 검증 능력을 학습. MOVINS 데이터셋과 함께 학습하면 지시-상태 양방향 이해가 가능. LoRA/QLoRA + INT4로 edge 배포.</w:t>
      </w:r>
    </w:p>
    <w:p>
      <w:pPr>
        <w:pStyle w:val="ListParagraph"/>
        <w:numPr>
          <w:ilvl w:val="0"/>
          <w:numId w:val="3"/>
        </w:numPr>
        <w:spacing w:after="60"/>
      </w:pPr>
      <w:r>
        <w:rPr>
          <w:b/>
          <w:bCs/>
        </w:rPr>
        <w:t xml:space="preserve">GraphRAG</w:t>
      </w:r>
      <w:r>
        <w:t xml:space="preserve">: 유형 3 Q&amp;A와 MIG 세그먼트 정의를 청크 인덱싱하여 Explanation 에이전트의 인용 소스로 사용. 유형 2 설명 패턴이 BAPLIE 스냅샷을 자연어로 변환.</w:t>
      </w:r>
    </w:p>
    <w:p>
      <w:pPr>
        <w:pStyle w:val="ListParagraph"/>
        <w:numPr>
          <w:ilvl w:val="0"/>
          <w:numId w:val="3"/>
        </w:numPr>
        <w:spacing w:after="60"/>
      </w:pPr>
      <w:r>
        <w:rPr>
          <w:b/>
          <w:bCs/>
        </w:rPr>
        <w:t xml:space="preserve">LPG (Knowledge Graph)</w:t>
      </w:r>
      <w:r>
        <w:t xml:space="preserve">: SG7의 EQD(ASSIGNED_TO), LOC(셀 노드), 컬럼/베이 STACKED_ON 관계가 KG 스키마의 직접 근거. BAPLIE가 그래프의 노드·엣지 인스턴스를 채운다. text2Cypher로 IMO/SOLAS 제약 노드 검증.</w:t>
      </w:r>
    </w:p>
    <w:p>
      <w:pPr>
        <w:pStyle w:val="ListParagraph"/>
        <w:numPr>
          <w:ilvl w:val="0"/>
          <w:numId w:val="3"/>
        </w:numPr>
        <w:spacing w:after="60"/>
      </w:pPr>
      <w:r>
        <w:rPr>
          <w:b/>
          <w:bCs/>
        </w:rPr>
        <w:t xml:space="preserve">RDB</w:t>
      </w:r>
      <w:r>
        <w:t xml:space="preserve">: 유형 4 위반 진단이 violation log로 적재되고, BAPLIE 파싱 결과(VPR/OSR/WBI 등 KPI)가 RDB에 저장. 실 BAPLIE를 RL state로 파싱 시 Reefer(TMP/RNG)·DG(DGS)·OOG(DIM) 처리가 단일 베이→멀티 베이 스키마 확장의 근거.</w:t>
      </w:r>
    </w:p>
    <w:p>
      <w:pPr>
        <w:spacing w:after="120"/>
      </w:pPr>
      <w:r>
        <w:t xml:space="preserve"/>
      </w:r>
    </w:p>
    <w:p>
      <w:pPr>
        <w:pBdr>
          <w:top w:val="single" w:color="2E75B6" w:sz="4" w:space="6"/>
        </w:pBdr>
        <w:spacing w:before="200"/>
      </w:pPr>
      <w:r>
        <w:rPr>
          <w:i/>
          <w:iCs/>
          <w:color w:val="595959"/>
          <w:sz w:val="18"/>
          <w:szCs w:val="18"/>
        </w:rPr>
        <w:t xml:space="preserve">제공 파일: 본 설계서(.docx) + 4개 SFT 데이터셋(.jsonl, 각 10개 샘플). MOVINS 설계서와 동일 구조이며, 두 데이터셋을 통합 학습하면 지시-상태 변환 능력을 확보할 수 있다.</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PortAgent · BAPLIE SFT 데이터셋 설계서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2026-06-13T02:45:53.745Z</dcterms:created>
  <dcterms:modified xsi:type="dcterms:W3CDTF">2026-06-13T02:45:53.745Z</dcterms:modified>
</cp:coreProperties>
</file>

<file path=docProps/custom.xml><?xml version="1.0" encoding="utf-8"?>
<Properties xmlns="http://schemas.openxmlformats.org/officeDocument/2006/custom-properties" xmlns:vt="http://schemas.openxmlformats.org/officeDocument/2006/docPropsVTypes"/>
</file>