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1F3864"/>
          <w:sz w:val="40"/>
          <w:szCs w:val="40"/>
        </w:rPr>
        <w:t xml:space="preserve">PortAgent / PortSLM</w:t>
      </w:r>
    </w:p>
    <w:p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 xml:space="preserve">ISPS Code 데이터 분석 · RAG/파인튜닝 활용 설계서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IMO Maritime Security Manual (MSC 89/INF.13) 기반</w:t>
      </w:r>
    </w:p>
    <w:p>
      <w:pPr>
        <w:spacing w:after="600"/>
        <w:jc w:val="center"/>
      </w:pPr>
      <w:r>
        <w:rPr>
          <w:color w:val="888888"/>
          <w:sz w:val="18"/>
          <w:szCs w:val="18"/>
        </w:rPr>
        <w:t xml:space="preserve">2026-06  |  항만 특화 SLM · GraphRAG Agent 데이터 파이프라인</w:t>
      </w:r>
    </w:p>
    <w:p>
      <w:pPr>
        <w:pBdr>
          <w:bottom w:val="single" w:color="2E75B6" w:sz="6" w:space="1"/>
        </w:pBdr>
      </w:pP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데이터 개요 (파일별)</w:t>
      </w:r>
    </w:p>
    <w:p>
      <w:pPr>
        <w:spacing w:after="120"/>
      </w:pPr>
      <w:r>
        <w:t xml:space="preserve">수집한 자료는 IMO 해사안전위원회(MSC) 89차 회의 정보문서 INF.13으로, 캐나다가 제출한 「Maritime Security Manual – Guidance for port facilities, ports and ships」 전문이다. SOLAS 제XI-2장과 ISPS Code의 이행·검증·집행을 지원하는 비강제(non-mandatory) 동반 지침서이며, 항만 보안 도메인의 비정형 데이터(ISPS Code, ISPS 절차) 군에 직접 해당한다.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파일명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Guide-to-Maritime-Security-and-the-ISPS-Code-2012.pdf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원문 식별자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IMO MSC 89/INF.13 (Annex: Maritime Security Manual v2.2)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분량 / 형식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256페이지 A4, 텍스트 레이어 보유 PDF (스캔본 아님)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구성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1 서론 / 2 정부·국가당국 책임 / 3 항만시설·항만운영자 책임 / 4 선박운영자 책임 / 5 보안평가 수행 프레임워크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성격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ISPS Code(강제)에 대한 비강제 해설·실무 지침. 정의·역할·절차·점검표·평가방법론 포함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요약 5줄: ① ISPS Code/SOLAS XI-2의 단일 참조 동반 지침서. ② 정부, 항만시설, 선박 세 주체의 보안 책임을 Section별로 분리 기술. ③ 보안등급 1·2·3, DoS, 제한구역, PFSO/SSO/CSO 등 핵심 개념을 정의. ④ 감사·점검 체크리스트와 ISPS 조항 교차참조(A/7, A/9 등)를 다수 포함. ⑤ 비강제 지침이므로 각국 법령·강제 조항이 우선한다는 점을 명시.</w:t>
      </w:r>
    </w:p>
    <w:p>
      <w:pPr>
        <w:pStyle w:val="Heading1"/>
      </w:pPr>
      <w:r>
        <w:t xml:space="preserve">2. 파인튜닝과 RAG 활용 방안</w:t>
      </w:r>
    </w:p>
    <w:p>
      <w:pPr>
        <w:pStyle w:val="Heading2"/>
      </w:pPr>
      <w:r>
        <w:t xml:space="preserve">2.1 역할 분담 원칙</w:t>
      </w:r>
    </w:p>
    <w:p>
      <w:pPr>
        <w:spacing w:after="120"/>
      </w:pPr>
      <w:r>
        <w:t xml:space="preserve">PortAgent 아키텍처의 확립된 원칙에 따라, SLM은 자율적 의사결정이 아닌 설명 생성(GraphRAG Explanation, 4번 에이전트)에만 사용된다. ISPS 자료는 이 설명 단계의 사실 근거(grounding)와 도메인 어휘 내재화 두 가지 목적에 모두 기여한다.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ISPS 자료 활용 방식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 (검색증강)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256p 전문을 청킹·임베딩하여 벡터 인덱스화. 질의 시 관련 조항을 검색해 컨텍스트로 주입 → 답변에 조항 출처를 인용. 규정 갱신 시 재학습 없이 인덱스만 교체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.jsonl 인덱스 + .npy 임베딩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파인튜닝 (SFT)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조항 인용을 포함한 Q&amp;A 쌍으로 도메인 어조·인용 습관·항만 보안 용어를 모델 가중치에 내재화. 검색 실패 시에도 기본 도메인 능력 확보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.jsonl SFT 데이터셋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LPG (지식그래프)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제한구역·보안등급·DoS 같은 개념을 제약 노드로 등록 → text2Cypher 검증에서 IMO/SOLAS 규정 위반 여부 판정에 활용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제약 노드 스키마</w:t>
            </w:r>
          </w:p>
        </w:tc>
      </w:tr>
    </w:tbl>
    <w:p>
      <w:pPr>
        <w:pStyle w:val="Heading2"/>
      </w:pPr>
      <w:r>
        <w:t xml:space="preserve">2.2 RAG와 SFT의 상호보완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RAG: 정확성·최신성·출처 추적성 확보. 규정처럼 자주 개정되고 정확 인용이 필요한 데이터에 적합.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SFT: 도메인 말투·인용 형식·전문 용어 이해를 내재화. 짧은 컨텍스트에서도 일관된 답변 형식 유지.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결합 전략: SFT로 '인용하며 답하는 습관'을 학습시키고, RAG로 '실제 인용할 조항'을 실시간 공급 → 환각 최소화 (프로젝트의 SOP 인용 기반 환각저감 원칙과 일치).</w:t>
      </w:r>
    </w:p>
    <w:p>
      <w:pPr>
        <w:pStyle w:val="Heading1"/>
      </w:pPr>
      <w:r>
        <w:t xml:space="preserve">3. 데이터셋 제작 방법</w:t>
      </w:r>
    </w:p>
    <w:p>
      <w:pPr>
        <w:pStyle w:val="Heading2"/>
      </w:pPr>
      <w:r>
        <w:t xml:space="preserve">3.1 RAG 인덱스 제작 (실제 수행)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텍스트 추출: pdftotext -layout 로 256p 추출 후, 반복 헤더/푸터(문서번호·파일경로·페이지번호) 정규식 제거.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구조 인식 청킹: Section 경계를 정규식으로 추적하여 각 청크에 section_no/title 메타데이터 부여. 목표 1,200자 + 1문단 오버랩, 120자 미만 잔여물 필터링 → 816개 청크.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임베딩: 각 청크를 384차원 dense 벡터로 인코딩, L2 정규화. 본 환경에서는 TF-IDF(1–2gram, 20k)+SVD(LSA)로 구성했고, 운영 환경에서는 동일 인터페이스로 BGE-M3 또는 multilingual-e5로 교체 권장(코드 구조 동일).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검증: 코사인 유사도 검색으로 'PFSO 책임', 'DoS 요건', '보안등급' 질의가 정확한 Section을 반환함을 확인.</w:t>
      </w:r>
    </w:p>
    <w:p>
      <w:pPr>
        <w:spacing w:after="120"/>
      </w:pPr>
      <w:r>
        <w:rPr>
          <w:b/>
          <w:bCs/>
        </w:rPr>
        <w:t xml:space="preserve">산출 형식 (각 줄):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{"chunk_id","section_no","section_title","text","char_len","embedding_idx","embedding_method","embedding_dim"}</w:t>
      </w:r>
    </w:p>
    <w:p>
      <w:pPr>
        <w:pStyle w:val="Heading2"/>
      </w:pPr>
      <w:r>
        <w:t xml:space="preserve">3.2 SFT 데이터셋 제작 방법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형식: messages 역할 구조(system/user/assistant)의 JSONL. 각 레코드에 meta.citation(조항 번호)·source_doc 포함.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환각 저감: 모든 assistant 답변을 실제 조항(§3.4.1, ISPS A/9.4.2 등)에 근거시키고 출처를 본문에 명시. 자유 생성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태스크 다양화: 정의(definition)·역할(role)·보안등급·절차(procedure)·진단(diagnosis)·평가(assessment)·거버넌스 등으로 분류해 커버리지 확보.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권장 규모: 본 샘플 10건을 시드로, Section별 50~100건까지 확장. 기존 portslm_safety_sft 데이터셋과 동일 스키마로 병합 가능.</w:t>
      </w:r>
    </w:p>
    <w:p>
      <w:pPr>
        <w:spacing w:after="120"/>
      </w:pPr>
      <w:r>
        <w:rPr>
          <w:b/>
          <w:bCs/>
        </w:rPr>
        <w:t xml:space="preserve">SFT 레코드 예시: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5"/>
          <w:szCs w:val="15"/>
        </w:rPr>
        <w:t xml:space="preserve">{"messages":[{"role":"system",...},{"role":"user","content":"What is a Declaration of Security?"},{"role":"assistant","content":"A DoS is a written agreement ... (Source: §3.4.1; ISPS A/5.)"}],"meta":{"task":"definition","citation":"§2.7 / §3.4.1"}}</w:t>
      </w:r>
    </w:p>
    <w:p>
      <w:pPr>
        <w:pStyle w:val="Heading1"/>
      </w:pPr>
      <w:r>
        <w:t xml:space="preserve">4. 본 작업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portslm_isps_fulltext.txt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정제된 ISPS 전문 (헤더/푸터 제거)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 67만 자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portslm_isps_rag_index.jsonl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청킹+메타데이터+임베딩 참조 인덱스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816 청크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portslm_isps_embeddings.npy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384차원 정규화 임베딩 행렬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816 × 384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portslm_isps_sft.jsonl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조항 인용 기반 SFT 데이터셋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샘플 (시드)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주의: 본 매뉴얼은 비강제 지침이므로, LPG 제약 검증 및 SLM 답변에서는 강제 조항(ISPS Part A, SOLAS XI-2)과 각국 법령이 우선함을 항상 병기해야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2026-06-13T05:50:54.429Z</dcterms:created>
  <dcterms:modified xsi:type="dcterms:W3CDTF">2026-06-13T05:50:54.429Z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