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功能测试报告</w:t>
      </w:r>
    </w:p>
    <w:p>
      <w:pPr>
        <w:pStyle w:val="Heading1"/>
      </w:pPr>
      <w:r>
        <w:t>1. 软件需求 (Software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主界面功能导航</w:t>
            </w:r>
          </w:p>
        </w:tc>
        <w:tc>
          <w:tcPr>
            <w:tcW w:type="dxa" w:w="2160"/>
          </w:tcPr>
          <w:p>
            <w:r>
              <w:t>系统应在应用启动后于主界面展示核心功能入口，用户可直观获取功能列表并选择进入相应服务页面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网页内容加载</w:t>
            </w:r>
          </w:p>
        </w:tc>
        <w:tc>
          <w:tcPr>
            <w:tcW w:type="dxa" w:w="2160"/>
          </w:tcPr>
          <w:p>
            <w:r>
              <w:t>系统应支持在应用内加载指定网页内容，并确保页面资源完整显示，用户可正常查看文本、图片等基础元素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网页交互支持</w:t>
            </w:r>
          </w:p>
        </w:tc>
        <w:tc>
          <w:tcPr>
            <w:tcW w:type="dxa" w:w="2160"/>
          </w:tcPr>
          <w:p>
            <w:r>
              <w:t>系统应启用JavaScript与DOM存储功能，支持用户在网页中进行点击链接、提交表单、动态内容加载等交互操作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网页加载异常处理</w:t>
            </w:r>
          </w:p>
        </w:tc>
        <w:tc>
          <w:tcPr>
            <w:tcW w:type="dxa" w:w="2160"/>
          </w:tcPr>
          <w:p>
            <w:r>
              <w:t>当网络异常或目标网址不可达时，系统应在页面内提示用户加载失败，并提供重试选项以重新加载网页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页面跳转连续性</w:t>
            </w:r>
          </w:p>
        </w:tc>
        <w:tc>
          <w:tcPr>
            <w:tcW w:type="dxa" w:w="2160"/>
          </w:tcPr>
          <w:p>
            <w:r>
              <w:t>用户在网页内进行多次跳转后，系统应支持返回上一页面操作，且历史记录保持连贯，内容正确加载</w:t>
            </w:r>
          </w:p>
        </w:tc>
        <w:tc>
          <w:tcPr>
            <w:tcW w:type="dxa" w:w="2160"/>
          </w:tcPr>
          <w:p>
            <w:r>
              <w:t>功能性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本地化内容显示</w:t>
            </w:r>
          </w:p>
        </w:tc>
        <w:tc>
          <w:tcPr>
            <w:tcW w:type="dxa" w:w="2160"/>
          </w:tcPr>
          <w:p>
            <w:r>
              <w:t>系统应正确渲染中文文本及符号，确保网页中包含的中文内容清晰可读，无乱码或编码错误</w:t>
            </w:r>
          </w:p>
        </w:tc>
        <w:tc>
          <w:tcPr>
            <w:tcW w:type="dxa" w:w="2160"/>
          </w:tcPr>
          <w:p>
            <w:r>
              <w:t>界面</w:t>
            </w:r>
          </w:p>
        </w:tc>
      </w:tr>
      <w:tr>
        <w:tc>
          <w:tcPr>
            <w:tcW w:type="dxa" w:w="2160"/>
          </w:tcPr>
          <w:p>
            <w:r>
              <w:t>FR-007</w:t>
            </w:r>
          </w:p>
        </w:tc>
        <w:tc>
          <w:tcPr>
            <w:tcW w:type="dxa" w:w="2160"/>
          </w:tcPr>
          <w:p>
            <w:r>
              <w:t>加载性能要求</w:t>
            </w:r>
          </w:p>
        </w:tc>
        <w:tc>
          <w:tcPr>
            <w:tcW w:type="dxa" w:w="2160"/>
          </w:tcPr>
          <w:p>
            <w:r>
              <w:t>系统应在常规网络条件下于3秒内完成网页首屏内容渲染，保证用户操作流畅性</w:t>
            </w:r>
          </w:p>
        </w:tc>
        <w:tc>
          <w:tcPr>
            <w:tcW w:type="dxa" w:w="2160"/>
          </w:tcPr>
          <w:p>
            <w:r>
              <w:t>性能</w:t>
            </w:r>
          </w:p>
        </w:tc>
      </w:tr>
      <w:tr>
        <w:tc>
          <w:tcPr>
            <w:tcW w:type="dxa" w:w="2160"/>
          </w:tcPr>
          <w:p>
            <w:r>
              <w:t>FR-008</w:t>
            </w:r>
          </w:p>
        </w:tc>
        <w:tc>
          <w:tcPr>
            <w:tcW w:type="dxa" w:w="2160"/>
          </w:tcPr>
          <w:p>
            <w:r>
              <w:t>输入安全性</w:t>
            </w:r>
          </w:p>
        </w:tc>
        <w:tc>
          <w:tcPr>
            <w:tcW w:type="dxa" w:w="2160"/>
          </w:tcPr>
          <w:p>
            <w:r>
              <w:t>当网页涉及用户输入（如登录、表单填写）时，系统应防止敏感信息明文存储，并对输入内容做基本安全过滤</w:t>
            </w:r>
          </w:p>
        </w:tc>
        <w:tc>
          <w:tcPr>
            <w:tcW w:type="dxa" w:w="2160"/>
          </w:tcPr>
          <w:p>
            <w:r>
              <w:t>安全性</w:t>
            </w:r>
          </w:p>
        </w:tc>
      </w:tr>
    </w:tbl>
    <w:p>
      <w:r>
        <w:br w:type="page"/>
      </w:r>
    </w:p>
    <w:p>
      <w:pPr>
        <w:pStyle w:val="Heading1"/>
      </w:pPr>
      <w:r>
        <w:t>2. 测试需求 (Test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Description/Objective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728"/>
          </w:tcPr>
          <w:p>
            <w:r>
              <w:t>TC-01-01</w:t>
            </w:r>
          </w:p>
        </w:tc>
        <w:tc>
          <w:tcPr>
            <w:tcW w:type="dxa" w:w="1728"/>
          </w:tcPr>
          <w:p>
            <w:r>
              <w:t>验证主界面显示核心功能入口</w:t>
            </w:r>
          </w:p>
        </w:tc>
        <w:tc>
          <w:tcPr>
            <w:tcW w:type="dxa" w:w="1728"/>
          </w:tcPr>
          <w:p>
            <w:r>
              <w:t>Desc: 启动应用后，主界面应展示多个核心功能的入口图标或按钮</w:t>
              <w:br/>
              <w:t>Obj: 确认主界面正确加载并显示所有核心功能导航项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主界面成功显示货币转换、长度转换、温度转换、重量转换、体积转换等主要功能入口</w:t>
            </w:r>
          </w:p>
        </w:tc>
      </w:tr>
      <w:tr>
        <w:tc>
          <w:tcPr>
            <w:tcW w:type="dxa" w:w="1728"/>
          </w:tcPr>
          <w:p>
            <w:r>
              <w:t>TC-01-02</w:t>
            </w:r>
          </w:p>
        </w:tc>
        <w:tc>
          <w:tcPr>
            <w:tcW w:type="dxa" w:w="1728"/>
          </w:tcPr>
          <w:p>
            <w:r>
              <w:t>点击货币转换功能入口</w:t>
            </w:r>
          </w:p>
        </w:tc>
        <w:tc>
          <w:tcPr>
            <w:tcW w:type="dxa" w:w="1728"/>
          </w:tcPr>
          <w:p>
            <w:r>
              <w:t>Desc: 用户点击主界面上的货币转换图标</w:t>
              <w:br/>
              <w:t>Obj: 验证能否从主界面进入货币转换服务页面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成功跳转至货币转换操作页面，页面包含货币输入框和可选币种列表</w:t>
            </w:r>
          </w:p>
        </w:tc>
      </w:tr>
      <w:tr>
        <w:tc>
          <w:tcPr>
            <w:tcW w:type="dxa" w:w="1728"/>
          </w:tcPr>
          <w:p>
            <w:r>
              <w:t>TC-01-03</w:t>
            </w:r>
          </w:p>
        </w:tc>
        <w:tc>
          <w:tcPr>
            <w:tcW w:type="dxa" w:w="1728"/>
          </w:tcPr>
          <w:p>
            <w:r>
              <w:t>点击长度转换功能入口</w:t>
            </w:r>
          </w:p>
        </w:tc>
        <w:tc>
          <w:tcPr>
            <w:tcW w:type="dxa" w:w="1728"/>
          </w:tcPr>
          <w:p>
            <w:r>
              <w:t>Desc: 用户点击主界面上的长度转换图标</w:t>
              <w:br/>
              <w:t>Obj: 验证能否从主界面进入长度转换服务页面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成功跳转至长度转换操作页面，页面包含米、千米、英尺、英寸等单位选择项</w:t>
            </w:r>
          </w:p>
        </w:tc>
      </w:tr>
      <w:tr>
        <w:tc>
          <w:tcPr>
            <w:tcW w:type="dxa" w:w="1728"/>
          </w:tcPr>
          <w:p>
            <w:r>
              <w:t>TC-01-04</w:t>
            </w:r>
          </w:p>
        </w:tc>
        <w:tc>
          <w:tcPr>
            <w:tcW w:type="dxa" w:w="1728"/>
          </w:tcPr>
          <w:p>
            <w:r>
              <w:t>点击温度转换功能入口</w:t>
            </w:r>
          </w:p>
        </w:tc>
        <w:tc>
          <w:tcPr>
            <w:tcW w:type="dxa" w:w="1728"/>
          </w:tcPr>
          <w:p>
            <w:r>
              <w:t>Desc: 用户点击主界面上的温度转换图标</w:t>
              <w:br/>
              <w:t>Obj: 验证能否从主界面进入温度转换服务页面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成功跳转至温度转换操作页面，支持摄氏度、华氏度、开尔文之间的转换</w:t>
            </w:r>
          </w:p>
        </w:tc>
      </w:tr>
      <w:tr>
        <w:tc>
          <w:tcPr>
            <w:tcW w:type="dxa" w:w="1728"/>
          </w:tcPr>
          <w:p>
            <w:r>
              <w:t>TC-01-05</w:t>
            </w:r>
          </w:p>
        </w:tc>
        <w:tc>
          <w:tcPr>
            <w:tcW w:type="dxa" w:w="1728"/>
          </w:tcPr>
          <w:p>
            <w:r>
              <w:t>检查主界面功能入口名称是否清晰可读</w:t>
            </w:r>
          </w:p>
        </w:tc>
        <w:tc>
          <w:tcPr>
            <w:tcW w:type="dxa" w:w="1728"/>
          </w:tcPr>
          <w:p>
            <w:r>
              <w:t>Desc: 主界面上各功能入口的文字标签应明确表达其对应的功能类型</w:t>
              <w:br/>
              <w:t>Obj: 确保用户能通过文字标识准确理解每个入口的功能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所有功能入口均使用中文标注，如‘货币’、‘长度’、‘温度’、‘重量’、‘体积’，无英文缩写或模糊命名</w:t>
            </w:r>
          </w:p>
        </w:tc>
      </w:tr>
      <w:tr>
        <w:tc>
          <w:tcPr>
            <w:tcW w:type="dxa" w:w="1728"/>
          </w:tcPr>
          <w:p>
            <w:r>
              <w:t>TC-01-06</w:t>
            </w:r>
          </w:p>
        </w:tc>
        <w:tc>
          <w:tcPr>
            <w:tcW w:type="dxa" w:w="1728"/>
          </w:tcPr>
          <w:p>
            <w:r>
              <w:t>验证主界面在横屏模式下功能布局完整性</w:t>
            </w:r>
          </w:p>
        </w:tc>
        <w:tc>
          <w:tcPr>
            <w:tcW w:type="dxa" w:w="1728"/>
          </w:tcPr>
          <w:p>
            <w:r>
              <w:t>Desc: 将设备切换为横屏方向后查看主界面功能入口显示情况</w:t>
              <w:br/>
              <w:t>Obj: 确认界面适配横屏且功能入口完整可见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所有核心功能入口仍正常显示，布局合理，无内容重叠或缺失</w:t>
            </w:r>
          </w:p>
        </w:tc>
      </w:tr>
      <w:tr>
        <w:tc>
          <w:tcPr>
            <w:tcW w:type="dxa" w:w="1728"/>
          </w:tcPr>
          <w:p>
            <w:r>
              <w:t>TC-01-07</w:t>
            </w:r>
          </w:p>
        </w:tc>
        <w:tc>
          <w:tcPr>
            <w:tcW w:type="dxa" w:w="1728"/>
          </w:tcPr>
          <w:p>
            <w:r>
              <w:t>验证主界面无网络时功能入口可用性</w:t>
            </w:r>
          </w:p>
        </w:tc>
        <w:tc>
          <w:tcPr>
            <w:tcW w:type="dxa" w:w="1728"/>
          </w:tcPr>
          <w:p>
            <w:r>
              <w:t>Desc: 在断网状态下打开应用，查看主界面功能入口是否仍可访问</w:t>
              <w:br/>
              <w:t>Obj: 确认本地功能不受网络影响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主界面功能入口正常显示，除需联网的功能外其余均可点击进入</w:t>
            </w:r>
          </w:p>
        </w:tc>
      </w:tr>
      <w:tr>
        <w:tc>
          <w:tcPr>
            <w:tcW w:type="dxa" w:w="1728"/>
          </w:tcPr>
          <w:p>
            <w:r>
              <w:t>TC-02-01</w:t>
            </w:r>
          </w:p>
        </w:tc>
        <w:tc>
          <w:tcPr>
            <w:tcW w:type="dxa" w:w="1728"/>
          </w:tcPr>
          <w:p>
            <w:r>
              <w:t>连续跳转后返回上一页面</w:t>
            </w:r>
          </w:p>
        </w:tc>
        <w:tc>
          <w:tcPr>
            <w:tcW w:type="dxa" w:w="1728"/>
          </w:tcPr>
          <w:p>
            <w:r>
              <w:t>Desc: 用户从主页面依次跳转至两个子页面后，通过返回功能逐级回到起始页面</w:t>
              <w:br/>
              <w:t>Obj: 验证页面跳转的连续性与返回操作的正确性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每一步返回操作均能正确加载前一页面内容，页面数据完整且无崩溃</w:t>
            </w:r>
          </w:p>
        </w:tc>
      </w:tr>
      <w:tr>
        <w:tc>
          <w:tcPr>
            <w:tcW w:type="dxa" w:w="1728"/>
          </w:tcPr>
          <w:p>
            <w:r>
              <w:t>TC-02-02</w:t>
            </w:r>
          </w:p>
        </w:tc>
        <w:tc>
          <w:tcPr>
            <w:tcW w:type="dxa" w:w="1728"/>
          </w:tcPr>
          <w:p>
            <w:r>
              <w:t>多次跳转后快速连续返回</w:t>
            </w:r>
          </w:p>
        </w:tc>
        <w:tc>
          <w:tcPr>
            <w:tcW w:type="dxa" w:w="1728"/>
          </w:tcPr>
          <w:p>
            <w:r>
              <w:t>Desc: 用户在应用内完成三次以上页面跳转后，连续点击返回按钮</w:t>
              <w:br/>
              <w:t>Obj: 验证历史记录栈是否保持连贯，返回路径是否正确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页面按进入顺序逆序正确显示，最终可返回至初始页面</w:t>
            </w:r>
          </w:p>
        </w:tc>
      </w:tr>
      <w:tr>
        <w:tc>
          <w:tcPr>
            <w:tcW w:type="dxa" w:w="1728"/>
          </w:tcPr>
          <w:p>
            <w:r>
              <w:t>TC-02-03</w:t>
            </w:r>
          </w:p>
        </w:tc>
        <w:tc>
          <w:tcPr>
            <w:tcW w:type="dxa" w:w="1728"/>
          </w:tcPr>
          <w:p>
            <w:r>
              <w:t>跳转至汇率转换页面后返回</w:t>
            </w:r>
          </w:p>
        </w:tc>
        <w:tc>
          <w:tcPr>
            <w:tcW w:type="dxa" w:w="1728"/>
          </w:tcPr>
          <w:p>
            <w:r>
              <w:t>Desc: 用户从首页进入货币转换页面，再跳转至汇率详情页后返回</w:t>
              <w:br/>
              <w:t>Obj: 验证特定功能页面间的跳转与返回一致性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返回后主转换界面数据保留，输入金额和选中币种未丢失</w:t>
            </w:r>
          </w:p>
        </w:tc>
      </w:tr>
      <w:tr>
        <w:tc>
          <w:tcPr>
            <w:tcW w:type="dxa" w:w="1728"/>
          </w:tcPr>
          <w:p>
            <w:r>
              <w:t>TC-02-04</w:t>
            </w:r>
          </w:p>
        </w:tc>
        <w:tc>
          <w:tcPr>
            <w:tcW w:type="dxa" w:w="1728"/>
          </w:tcPr>
          <w:p>
            <w:r>
              <w:t>跳转过程中触发后台切换再返回</w:t>
            </w:r>
          </w:p>
        </w:tc>
        <w:tc>
          <w:tcPr>
            <w:tcW w:type="dxa" w:w="1728"/>
          </w:tcPr>
          <w:p>
            <w:r>
              <w:t>Desc: 用户跳转至长度换算页面后，将应用切至后台5秒后重新进入并执行返回操作</w:t>
              <w:br/>
              <w:t>Obj: 验证前后台切换对页面历史栈的影响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应用恢复后页面状态保留，返回操作仍可正常回退</w:t>
            </w:r>
          </w:p>
        </w:tc>
      </w:tr>
      <w:tr>
        <w:tc>
          <w:tcPr>
            <w:tcW w:type="dxa" w:w="1728"/>
          </w:tcPr>
          <w:p>
            <w:r>
              <w:t>TC-02-05</w:t>
            </w:r>
          </w:p>
        </w:tc>
        <w:tc>
          <w:tcPr>
            <w:tcW w:type="dxa" w:w="1728"/>
          </w:tcPr>
          <w:p>
            <w:r>
              <w:t>空历史栈时点击返回</w:t>
            </w:r>
          </w:p>
        </w:tc>
        <w:tc>
          <w:tcPr>
            <w:tcW w:type="dxa" w:w="1728"/>
          </w:tcPr>
          <w:p>
            <w:r>
              <w:t>Desc: 用户首次打开应用，在未进行任何跳转时点击返回按钮</w:t>
              <w:br/>
              <w:t>Obj: 验证初始状态下返回操作的行为合理性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应用退出或提示用户确认退出，不出现异常崩溃</w:t>
            </w:r>
          </w:p>
        </w:tc>
      </w:tr>
      <w:tr>
        <w:tc>
          <w:tcPr>
            <w:tcW w:type="dxa" w:w="1728"/>
          </w:tcPr>
          <w:p>
            <w:r>
              <w:t>TC-03-01</w:t>
            </w:r>
          </w:p>
        </w:tc>
        <w:tc>
          <w:tcPr>
            <w:tcW w:type="dxa" w:w="1728"/>
          </w:tcPr>
          <w:p>
            <w:r>
              <w:t>验证中文标题显示正常</w:t>
            </w:r>
          </w:p>
        </w:tc>
        <w:tc>
          <w:tcPr>
            <w:tcW w:type="dxa" w:w="1728"/>
          </w:tcPr>
          <w:p>
            <w:r>
              <w:t>Desc: 在应用主界面查看是否存在中文标题或标签，确认其是否正确显示为可读中文，无乱码或方框符号。</w:t>
              <w:br/>
              <w:t>Obj: 确保应用内中文文本内容能被正确渲染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所有中文标题、按钮文字和提示信息均以清晰、正确的汉字显示，无乱码、问号或方块字符</w:t>
            </w:r>
          </w:p>
        </w:tc>
      </w:tr>
      <w:tr>
        <w:tc>
          <w:tcPr>
            <w:tcW w:type="dxa" w:w="1728"/>
          </w:tcPr>
          <w:p>
            <w:r>
              <w:t>TC-03-02</w:t>
            </w:r>
          </w:p>
        </w:tc>
        <w:tc>
          <w:tcPr>
            <w:tcW w:type="dxa" w:w="1728"/>
          </w:tcPr>
          <w:p>
            <w:r>
              <w:t>检查中文错误提示信息显示</w:t>
            </w:r>
          </w:p>
        </w:tc>
        <w:tc>
          <w:tcPr>
            <w:tcW w:type="dxa" w:w="1728"/>
          </w:tcPr>
          <w:p>
            <w:r>
              <w:t>Desc: 在执行非法操作（如输入无效数值）后，观察错误提示是否使用清晰的中文进行提示</w:t>
              <w:br/>
              <w:t>Obj: 验证错误消息是否本地化为中文并正确显示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系统弹出的错误提示为中文，例如“请输入有效的数字”或“数值不能为空”</w:t>
            </w:r>
          </w:p>
        </w:tc>
      </w:tr>
      <w:tr>
        <w:tc>
          <w:tcPr>
            <w:tcW w:type="dxa" w:w="1728"/>
          </w:tcPr>
          <w:p>
            <w:r>
              <w:t>TC-03-03</w:t>
            </w:r>
          </w:p>
        </w:tc>
        <w:tc>
          <w:tcPr>
            <w:tcW w:type="dxa" w:w="1728"/>
          </w:tcPr>
          <w:p>
            <w:r>
              <w:t>验证中文帮助说明内容可读性</w:t>
            </w:r>
          </w:p>
        </w:tc>
        <w:tc>
          <w:tcPr>
            <w:tcW w:type="dxa" w:w="1728"/>
          </w:tcPr>
          <w:p>
            <w:r>
              <w:t>Desc: 进入设置或帮助页面，查看是否有中文说明文本，并确认其排版与字符显示正常</w:t>
              <w:br/>
              <w:t>Obj: 确保长段中文文本能够正确加载和展示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帮助文档中的中文段落完整显示，标点符号（如句号“。”、顿号“、”）正确呈现，无编码异常</w:t>
            </w:r>
          </w:p>
        </w:tc>
      </w:tr>
      <w:tr>
        <w:tc>
          <w:tcPr>
            <w:tcW w:type="dxa" w:w="1728"/>
          </w:tcPr>
          <w:p>
            <w:r>
              <w:t>TC-03-04</w:t>
            </w:r>
          </w:p>
        </w:tc>
        <w:tc>
          <w:tcPr>
            <w:tcW w:type="dxa" w:w="1728"/>
          </w:tcPr>
          <w:p>
            <w:r>
              <w:t>切换系统语言为中文后内容本地化</w:t>
            </w:r>
          </w:p>
        </w:tc>
        <w:tc>
          <w:tcPr>
            <w:tcW w:type="dxa" w:w="1728"/>
          </w:tcPr>
          <w:p>
            <w:r>
              <w:t>Desc: 将手机系统语言设为简体中文后重新打开应用，检查界面是否自动切换为中文显示</w:t>
              <w:br/>
              <w:t>Obj: 验证应用支持系统级语言切换并正确加载中文资源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应用界面元素（如按钮、菜单项、标签）均显示为对应中文翻译，无残留英文或乱码</w:t>
            </w:r>
          </w:p>
        </w:tc>
      </w:tr>
      <w:tr>
        <w:tc>
          <w:tcPr>
            <w:tcW w:type="dxa" w:w="1728"/>
          </w:tcPr>
          <w:p>
            <w:r>
              <w:t>TC-03-05</w:t>
            </w:r>
          </w:p>
        </w:tc>
        <w:tc>
          <w:tcPr>
            <w:tcW w:type="dxa" w:w="1728"/>
          </w:tcPr>
          <w:p>
            <w:r>
              <w:t>验证含中文混合符号的显示效果</w:t>
            </w:r>
          </w:p>
        </w:tc>
        <w:tc>
          <w:tcPr>
            <w:tcW w:type="dxa" w:w="1728"/>
          </w:tcPr>
          <w:p>
            <w:r>
              <w:t>Desc: 查看界面中是否出现中英文混排、中文与数字/符号共存的情况，确认显示清晰</w:t>
              <w:br/>
              <w:t>Obj: 确保中文与常见符号组合时渲染正常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如“温度：25℃”、“距离：3.5公里”等表达式中，中文、数字与单位符号正确对齐且无乱码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