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功能测试报告</w:t>
      </w:r>
    </w:p>
    <w:p>
      <w:pPr>
        <w:pStyle w:val="Heading1"/>
      </w:pPr>
      <w:r>
        <w:t>1. 软件需求 (Software Requirements)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</w:tr>
      <w:tr>
        <w:tc>
          <w:tcPr>
            <w:tcW w:type="dxa" w:w="2160"/>
          </w:tcPr>
          <w:p>
            <w:r>
              <w:t>FR-001</w:t>
            </w:r>
          </w:p>
        </w:tc>
        <w:tc>
          <w:tcPr>
            <w:tcW w:type="dxa" w:w="2160"/>
          </w:tcPr>
          <w:p>
            <w:r>
              <w:t>启动应用并进入主界面</w:t>
            </w:r>
          </w:p>
        </w:tc>
        <w:tc>
          <w:tcPr>
            <w:tcW w:type="dxa" w:w="2160"/>
          </w:tcPr>
          <w:p>
            <w:r>
              <w:t>系统应允许用户正常启动应用，并在启动后展示主界面，主界面应提供导航入口以访问应用的核心功能。</w:t>
            </w:r>
          </w:p>
        </w:tc>
        <w:tc>
          <w:tcPr>
            <w:tcW w:type="dxa" w:w="2160"/>
          </w:tcPr>
          <w:p>
            <w:r>
              <w:t>功能性</w:t>
            </w:r>
          </w:p>
        </w:tc>
      </w:tr>
      <w:tr>
        <w:tc>
          <w:tcPr>
            <w:tcW w:type="dxa" w:w="2160"/>
          </w:tcPr>
          <w:p>
            <w:r>
              <w:t>FR-002</w:t>
            </w:r>
          </w:p>
        </w:tc>
        <w:tc>
          <w:tcPr>
            <w:tcW w:type="dxa" w:w="2160"/>
          </w:tcPr>
          <w:p>
            <w:r>
              <w:t>加载网页内容</w:t>
            </w:r>
          </w:p>
        </w:tc>
        <w:tc>
          <w:tcPr>
            <w:tcW w:type="dxa" w:w="2160"/>
          </w:tcPr>
          <w:p>
            <w:r>
              <w:t>系统应在页面内正确加载指定网页内容，支持JavaScript执行与DOM存储，确保网页功能完整可用。</w:t>
            </w:r>
          </w:p>
        </w:tc>
        <w:tc>
          <w:tcPr>
            <w:tcW w:type="dxa" w:w="2160"/>
          </w:tcPr>
          <w:p>
            <w:r>
              <w:t>功能性</w:t>
            </w:r>
          </w:p>
        </w:tc>
      </w:tr>
      <w:tr>
        <w:tc>
          <w:tcPr>
            <w:tcW w:type="dxa" w:w="2160"/>
          </w:tcPr>
          <w:p>
            <w:r>
              <w:t>FR-003</w:t>
            </w:r>
          </w:p>
        </w:tc>
        <w:tc>
          <w:tcPr>
            <w:tcW w:type="dxa" w:w="2160"/>
          </w:tcPr>
          <w:p>
            <w:r>
              <w:t>网页链接点击交互</w:t>
            </w:r>
          </w:p>
        </w:tc>
        <w:tc>
          <w:tcPr>
            <w:tcW w:type="dxa" w:w="2160"/>
          </w:tcPr>
          <w:p>
            <w:r>
              <w:t>系统应允许用户在当前页面内点击网页中的链接，并在相同环境中跳转至目标页面，保持浏览连续性。</w:t>
            </w:r>
          </w:p>
        </w:tc>
        <w:tc>
          <w:tcPr>
            <w:tcW w:type="dxa" w:w="2160"/>
          </w:tcPr>
          <w:p>
            <w:r>
              <w:t>功能性</w:t>
            </w:r>
          </w:p>
        </w:tc>
      </w:tr>
      <w:tr>
        <w:tc>
          <w:tcPr>
            <w:tcW w:type="dxa" w:w="2160"/>
          </w:tcPr>
          <w:p>
            <w:r>
              <w:t>FR-004</w:t>
            </w:r>
          </w:p>
        </w:tc>
        <w:tc>
          <w:tcPr>
            <w:tcW w:type="dxa" w:w="2160"/>
          </w:tcPr>
          <w:p>
            <w:r>
              <w:t>网页内容显示异常处理</w:t>
            </w:r>
          </w:p>
        </w:tc>
        <w:tc>
          <w:tcPr>
            <w:tcW w:type="dxa" w:w="2160"/>
          </w:tcPr>
          <w:p>
            <w:r>
              <w:t>当网页加载失败或网络不可用时，系统应显示适当的错误提示信息，并提供重试机制供用户重新尝试加载。</w:t>
            </w:r>
          </w:p>
        </w:tc>
        <w:tc>
          <w:tcPr>
            <w:tcW w:type="dxa" w:w="2160"/>
          </w:tcPr>
          <w:p>
            <w:r>
              <w:t>功能性</w:t>
            </w:r>
          </w:p>
        </w:tc>
      </w:tr>
      <w:tr>
        <w:tc>
          <w:tcPr>
            <w:tcW w:type="dxa" w:w="2160"/>
          </w:tcPr>
          <w:p>
            <w:r>
              <w:t>FR-005</w:t>
            </w:r>
          </w:p>
        </w:tc>
        <w:tc>
          <w:tcPr>
            <w:tcW w:type="dxa" w:w="2160"/>
          </w:tcPr>
          <w:p>
            <w:r>
              <w:t>JavaScript功能支持</w:t>
            </w:r>
          </w:p>
        </w:tc>
        <w:tc>
          <w:tcPr>
            <w:tcW w:type="dxa" w:w="2160"/>
          </w:tcPr>
          <w:p>
            <w:r>
              <w:t>系统应启用并支持JavaScript执行，确保依赖脚本的网页功能（如表单验证、动态内容加载）可正常使用。</w:t>
            </w:r>
          </w:p>
        </w:tc>
        <w:tc>
          <w:tcPr>
            <w:tcW w:type="dxa" w:w="2160"/>
          </w:tcPr>
          <w:p>
            <w:r>
              <w:t>功能性</w:t>
            </w:r>
          </w:p>
        </w:tc>
      </w:tr>
      <w:tr>
        <w:tc>
          <w:tcPr>
            <w:tcW w:type="dxa" w:w="2160"/>
          </w:tcPr>
          <w:p>
            <w:r>
              <w:t>FR-006</w:t>
            </w:r>
          </w:p>
        </w:tc>
        <w:tc>
          <w:tcPr>
            <w:tcW w:type="dxa" w:w="2160"/>
          </w:tcPr>
          <w:p>
            <w:r>
              <w:t>本地数据存储支持</w:t>
            </w:r>
          </w:p>
        </w:tc>
        <w:tc>
          <w:tcPr>
            <w:tcW w:type="dxa" w:w="2160"/>
          </w:tcPr>
          <w:p>
            <w:r>
              <w:t>系统应支持网页使用DOM存储（如localStorage），以便保存用户浏览过程中的必要状态或偏好设置。</w:t>
            </w:r>
          </w:p>
        </w:tc>
        <w:tc>
          <w:tcPr>
            <w:tcW w:type="dxa" w:w="2160"/>
          </w:tcPr>
          <w:p>
            <w:r>
              <w:t>功能性</w:t>
            </w:r>
          </w:p>
        </w:tc>
      </w:tr>
      <w:tr>
        <w:tc>
          <w:tcPr>
            <w:tcW w:type="dxa" w:w="2160"/>
          </w:tcPr>
          <w:p>
            <w:r>
              <w:t>FR-007</w:t>
            </w:r>
          </w:p>
        </w:tc>
        <w:tc>
          <w:tcPr>
            <w:tcW w:type="dxa" w:w="2160"/>
          </w:tcPr>
          <w:p>
            <w:r>
              <w:t>页面响应性能</w:t>
            </w:r>
          </w:p>
        </w:tc>
        <w:tc>
          <w:tcPr>
            <w:tcW w:type="dxa" w:w="2160"/>
          </w:tcPr>
          <w:p>
            <w:r>
              <w:t>系统应在合理时间内完成网页加载和渲染，用户操作后页面响应延迟不应超过2秒，确保流畅交互体验。</w:t>
            </w:r>
          </w:p>
        </w:tc>
        <w:tc>
          <w:tcPr>
            <w:tcW w:type="dxa" w:w="2160"/>
          </w:tcPr>
          <w:p>
            <w:r>
              <w:t>性能</w:t>
            </w:r>
          </w:p>
        </w:tc>
      </w:tr>
      <w:tr>
        <w:tc>
          <w:tcPr>
            <w:tcW w:type="dxa" w:w="2160"/>
          </w:tcPr>
          <w:p>
            <w:r>
              <w:t>FR-008</w:t>
            </w:r>
          </w:p>
        </w:tc>
        <w:tc>
          <w:tcPr>
            <w:tcW w:type="dxa" w:w="2160"/>
          </w:tcPr>
          <w:p>
            <w:r>
              <w:t>主界面功能导航完整性</w:t>
            </w:r>
          </w:p>
        </w:tc>
        <w:tc>
          <w:tcPr>
            <w:tcW w:type="dxa" w:w="2160"/>
          </w:tcPr>
          <w:p>
            <w:r>
              <w:t>系统应确保主界面中所有功能入口可见且可点击，能够正确跳转至对应服务页面。</w:t>
            </w:r>
          </w:p>
        </w:tc>
        <w:tc>
          <w:tcPr>
            <w:tcW w:type="dxa" w:w="2160"/>
          </w:tcPr>
          <w:p>
            <w:r>
              <w:t>功能性</w:t>
            </w:r>
          </w:p>
        </w:tc>
      </w:tr>
      <w:tr>
        <w:tc>
          <w:tcPr>
            <w:tcW w:type="dxa" w:w="2160"/>
          </w:tcPr>
          <w:p>
            <w:r>
              <w:t>FR-009</w:t>
            </w:r>
          </w:p>
        </w:tc>
        <w:tc>
          <w:tcPr>
            <w:tcW w:type="dxa" w:w="2160"/>
          </w:tcPr>
          <w:p>
            <w:r>
              <w:t>中文内容显示支持</w:t>
            </w:r>
          </w:p>
        </w:tc>
        <w:tc>
          <w:tcPr>
            <w:tcW w:type="dxa" w:w="2160"/>
          </w:tcPr>
          <w:p>
            <w:r>
              <w:t>系统应正确显示网页及界面中的中文字符，无乱码或字体缺失现象。</w:t>
            </w:r>
          </w:p>
        </w:tc>
        <w:tc>
          <w:tcPr>
            <w:tcW w:type="dxa" w:w="2160"/>
          </w:tcPr>
          <w:p>
            <w:r>
              <w:t>界面</w:t>
            </w:r>
          </w:p>
        </w:tc>
      </w:tr>
    </w:tbl>
    <w:p>
      <w:r>
        <w:br w:type="page"/>
      </w:r>
    </w:p>
    <w:p>
      <w:pPr>
        <w:pStyle w:val="Heading1"/>
      </w:pPr>
      <w:r>
        <w:t>2. 测试需求 (Test Requirements)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Description/Objective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Test Data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Expected Result</w:t>
            </w:r>
          </w:p>
        </w:tc>
      </w:tr>
      <w:tr>
        <w:tc>
          <w:tcPr>
            <w:tcW w:type="dxa" w:w="1728"/>
          </w:tcPr>
          <w:p>
            <w:r>
              <w:t>TC-01-01</w:t>
            </w:r>
          </w:p>
        </w:tc>
        <w:tc>
          <w:tcPr>
            <w:tcW w:type="dxa" w:w="1728"/>
          </w:tcPr>
          <w:p>
            <w:r>
              <w:t>验证应用启动并显示主界面</w:t>
            </w:r>
          </w:p>
        </w:tc>
        <w:tc>
          <w:tcPr>
            <w:tcW w:type="dxa" w:w="1728"/>
          </w:tcPr>
          <w:p>
            <w:r>
              <w:t>Desc: 用户点击应用图标后，应用应正常启动并展示主界面，界面上包含核心功能的导航入口。</w:t>
              <w:br/>
              <w:t>Obj: 确认应用可以成功启动并进入主界面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应用启动后主界面正确加载，显示至少一个功能分类导航项，如货币、长度或重量转换入口</w:t>
            </w:r>
          </w:p>
        </w:tc>
      </w:tr>
      <w:tr>
        <w:tc>
          <w:tcPr>
            <w:tcW w:type="dxa" w:w="1728"/>
          </w:tcPr>
          <w:p>
            <w:r>
              <w:t>TC-01-02</w:t>
            </w:r>
          </w:p>
        </w:tc>
        <w:tc>
          <w:tcPr>
            <w:tcW w:type="dxa" w:w="1728"/>
          </w:tcPr>
          <w:p>
            <w:r>
              <w:t>主界面导航入口可见性检查</w:t>
            </w:r>
          </w:p>
        </w:tc>
        <w:tc>
          <w:tcPr>
            <w:tcW w:type="dxa" w:w="1728"/>
          </w:tcPr>
          <w:p>
            <w:r>
              <w:t>Desc: 主界面应展示多个常用单位转换类别的图标或文字链接，供用户选择进入具体功能页面。</w:t>
              <w:br/>
              <w:t>Obj: 验证主界面提供可访问核心功能的导航元素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主界面上可见‘货币’、‘长度’、‘重量’、‘温度’等至少四个分类入口，可点击操作</w:t>
            </w:r>
          </w:p>
        </w:tc>
      </w:tr>
      <w:tr>
        <w:tc>
          <w:tcPr>
            <w:tcW w:type="dxa" w:w="1728"/>
          </w:tcPr>
          <w:p>
            <w:r>
              <w:t>TC-01-03</w:t>
            </w:r>
          </w:p>
        </w:tc>
        <w:tc>
          <w:tcPr>
            <w:tcW w:type="dxa" w:w="1728"/>
          </w:tcPr>
          <w:p>
            <w:r>
              <w:t>主界面无响应情况测试</w:t>
            </w:r>
          </w:p>
        </w:tc>
        <w:tc>
          <w:tcPr>
            <w:tcW w:type="dxa" w:w="1728"/>
          </w:tcPr>
          <w:p>
            <w:r>
              <w:t>Desc: 在低性能设备或高负载环境下启动应用，检查主界面是否仍能正常渲染并响应用户操作。</w:t>
              <w:br/>
              <w:t>Obj: 验证主界面在异常设备条件下仍可使用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即使加载稍慢，主界面最终完整显示且所有导航入口可点击</w:t>
            </w:r>
          </w:p>
        </w:tc>
      </w:tr>
      <w:tr>
        <w:tc>
          <w:tcPr>
            <w:tcW w:type="dxa" w:w="1728"/>
          </w:tcPr>
          <w:p>
            <w:r>
              <w:t>TC-01-04</w:t>
            </w:r>
          </w:p>
        </w:tc>
        <w:tc>
          <w:tcPr>
            <w:tcW w:type="dxa" w:w="1728"/>
          </w:tcPr>
          <w:p>
            <w:r>
              <w:t>首次启动主界面展示检查</w:t>
            </w:r>
          </w:p>
        </w:tc>
        <w:tc>
          <w:tcPr>
            <w:tcW w:type="dxa" w:w="1728"/>
          </w:tcPr>
          <w:p>
            <w:r>
              <w:t>Desc: 新安装后首次启动应用，主界面应直接呈现核心功能导航，不强制跳转引导页或广告页。</w:t>
              <w:br/>
              <w:t>Obj: 确保首次启动也能进入主界面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首次启动时直接进入主界面，未被重定向至其他非主界面页面</w:t>
            </w:r>
          </w:p>
        </w:tc>
      </w:tr>
      <w:tr>
        <w:tc>
          <w:tcPr>
            <w:tcW w:type="dxa" w:w="1728"/>
          </w:tcPr>
          <w:p>
            <w:r>
              <w:t>TC-01-05</w:t>
            </w:r>
          </w:p>
        </w:tc>
        <w:tc>
          <w:tcPr>
            <w:tcW w:type="dxa" w:w="1728"/>
          </w:tcPr>
          <w:p>
            <w:r>
              <w:t>主界面空状态检查</w:t>
            </w:r>
          </w:p>
        </w:tc>
        <w:tc>
          <w:tcPr>
            <w:tcW w:type="dxa" w:w="1728"/>
          </w:tcPr>
          <w:p>
            <w:r>
              <w:t>Desc: 在无网络连接的情况下启动应用，检查主界面是否仍能本地加载基本导航结构。</w:t>
              <w:br/>
              <w:t>Obj: 验证主界面基础内容可在离线状态下显示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即使无网络，主界面仍显示本地支持的转换类别入口，仅部分在线功能置灰不可用</w:t>
            </w:r>
          </w:p>
        </w:tc>
      </w:tr>
      <w:tr>
        <w:tc>
          <w:tcPr>
            <w:tcW w:type="dxa" w:w="1728"/>
          </w:tcPr>
          <w:p>
            <w:r>
              <w:t>TC-02-01</w:t>
            </w:r>
          </w:p>
        </w:tc>
        <w:tc>
          <w:tcPr>
            <w:tcW w:type="dxa" w:w="1728"/>
          </w:tcPr>
          <w:p>
            <w:r>
              <w:t>点击网页链接跳转目标页面</w:t>
            </w:r>
          </w:p>
        </w:tc>
        <w:tc>
          <w:tcPr>
            <w:tcW w:type="dxa" w:w="1728"/>
          </w:tcPr>
          <w:p>
            <w:r>
              <w:t>Desc: 用户在应用内浏览包含超链接的网页内容，点击链接后应在当前环境中加载目标页面</w:t>
              <w:br/>
              <w:t>Obj: 验证链接点击后能在同一界面环境中完成页面跳转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点击链接后成功加载目标网页内容，页面切换流畅，无外部浏览器打开行为</w:t>
            </w:r>
          </w:p>
        </w:tc>
      </w:tr>
      <w:tr>
        <w:tc>
          <w:tcPr>
            <w:tcW w:type="dxa" w:w="1728"/>
          </w:tcPr>
          <w:p>
            <w:r>
              <w:t>TC-02-02</w:t>
            </w:r>
          </w:p>
        </w:tc>
        <w:tc>
          <w:tcPr>
            <w:tcW w:type="dxa" w:w="1728"/>
          </w:tcPr>
          <w:p>
            <w:r>
              <w:t>点击内部锚点链接平滑滚动</w:t>
            </w:r>
          </w:p>
        </w:tc>
        <w:tc>
          <w:tcPr>
            <w:tcW w:type="dxa" w:w="1728"/>
          </w:tcPr>
          <w:p>
            <w:r>
              <w:t>Desc: 用户点击页面内的锚点链接时，页面应平滑滚动至对应章节位置</w:t>
              <w:br/>
              <w:t>Obj: 验证锚点链接可在同页内正确触发定位跳转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页面视图自动滚动到锚点对应的内容区域，URL无跳转但片段标识更新</w:t>
            </w:r>
          </w:p>
        </w:tc>
      </w:tr>
      <w:tr>
        <w:tc>
          <w:tcPr>
            <w:tcW w:type="dxa" w:w="1728"/>
          </w:tcPr>
          <w:p>
            <w:r>
              <w:t>TC-02-03</w:t>
            </w:r>
          </w:p>
        </w:tc>
        <w:tc>
          <w:tcPr>
            <w:tcW w:type="dxa" w:w="1728"/>
          </w:tcPr>
          <w:p>
            <w:r>
              <w:t>点击无效链接提示处理</w:t>
            </w:r>
          </w:p>
        </w:tc>
        <w:tc>
          <w:tcPr>
            <w:tcW w:type="dxa" w:w="1728"/>
          </w:tcPr>
          <w:p>
            <w:r>
              <w:t>Desc: 用户点击一个格式错误或无法访问的链接时，系统应给出适当反馈</w:t>
              <w:br/>
              <w:t>Obj: 验证对非法链接的容错处理机制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显示友好提示如'页面无法访问'或'链接无效'，不崩溃或卡死</w:t>
            </w:r>
          </w:p>
        </w:tc>
      </w:tr>
      <w:tr>
        <w:tc>
          <w:tcPr>
            <w:tcW w:type="dxa" w:w="1728"/>
          </w:tcPr>
          <w:p>
            <w:r>
              <w:t>TC-02-04</w:t>
            </w:r>
          </w:p>
        </w:tc>
        <w:tc>
          <w:tcPr>
            <w:tcW w:type="dxa" w:w="1728"/>
          </w:tcPr>
          <w:p>
            <w:r>
              <w:t>点击下载链接触发资源获取</w:t>
            </w:r>
          </w:p>
        </w:tc>
        <w:tc>
          <w:tcPr>
            <w:tcW w:type="dxa" w:w="1728"/>
          </w:tcPr>
          <w:p>
            <w:r>
              <w:t>Desc: 用户点击指向文件资源的链接（如PDF、文档），系统应启动下载流程</w:t>
              <w:br/>
              <w:t>Obj: 验证非网页类链接能正确识别并执行下载操作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弹出下载确认或自动加入下载队列，状态可追踪</w:t>
            </w:r>
          </w:p>
        </w:tc>
      </w:tr>
      <w:tr>
        <w:tc>
          <w:tcPr>
            <w:tcW w:type="dxa" w:w="1728"/>
          </w:tcPr>
          <w:p>
            <w:r>
              <w:t>TC-02-05</w:t>
            </w:r>
          </w:p>
        </w:tc>
        <w:tc>
          <w:tcPr>
            <w:tcW w:type="dxa" w:w="1728"/>
          </w:tcPr>
          <w:p>
            <w:r>
              <w:t>返回按钮支持浏览历史回退</w:t>
            </w:r>
          </w:p>
        </w:tc>
        <w:tc>
          <w:tcPr>
            <w:tcW w:type="dxa" w:w="1728"/>
          </w:tcPr>
          <w:p>
            <w:r>
              <w:t>Desc: 用户在多次点击链接跳转后，使用返回功能应能逐级退回先前页面</w:t>
              <w:br/>
              <w:t>Obj: 验证页面导航历史管理功能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点击返回按钮可回到上一网页，历史栈正常维护</w:t>
            </w:r>
          </w:p>
        </w:tc>
      </w:tr>
      <w:tr>
        <w:tc>
          <w:tcPr>
            <w:tcW w:type="dxa" w:w="1728"/>
          </w:tcPr>
          <w:p>
            <w:r>
              <w:t>TC-03-01</w:t>
            </w:r>
          </w:p>
        </w:tc>
        <w:tc>
          <w:tcPr>
            <w:tcW w:type="dxa" w:w="1728"/>
          </w:tcPr>
          <w:p>
            <w:r>
              <w:t>验证主界面货币转换功能入口可见且可点击</w:t>
            </w:r>
          </w:p>
        </w:tc>
        <w:tc>
          <w:tcPr>
            <w:tcW w:type="dxa" w:w="1728"/>
          </w:tcPr>
          <w:p>
            <w:r>
              <w:t>Desc: 检查主界面是否显示货币转换功能入口，并能正常跳转至对应页面</w:t>
              <w:br/>
              <w:t>Obj: 确认货币转换入口存在并可操作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主界面上显示‘货币转换’入口，点击后成功进入货币转换服务页面</w:t>
            </w:r>
          </w:p>
        </w:tc>
      </w:tr>
      <w:tr>
        <w:tc>
          <w:tcPr>
            <w:tcW w:type="dxa" w:w="1728"/>
          </w:tcPr>
          <w:p>
            <w:r>
              <w:t>TC-03-02</w:t>
            </w:r>
          </w:p>
        </w:tc>
        <w:tc>
          <w:tcPr>
            <w:tcW w:type="dxa" w:w="1728"/>
          </w:tcPr>
          <w:p>
            <w:r>
              <w:t>验证主界面长度单位转换入口可见且可点击</w:t>
            </w:r>
          </w:p>
        </w:tc>
        <w:tc>
          <w:tcPr>
            <w:tcW w:type="dxa" w:w="1728"/>
          </w:tcPr>
          <w:p>
            <w:r>
              <w:t>Desc: 检查主界面是否显示长度单位转换入口，并能正常跳转至对应页面</w:t>
              <w:br/>
              <w:t>Obj: 确认长度单位转换入口存在并可操作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主界面上显示‘长度转换’入口，点击后成功进入长度单位转换服务页面</w:t>
            </w:r>
          </w:p>
        </w:tc>
      </w:tr>
      <w:tr>
        <w:tc>
          <w:tcPr>
            <w:tcW w:type="dxa" w:w="1728"/>
          </w:tcPr>
          <w:p>
            <w:r>
              <w:t>TC-03-03</w:t>
            </w:r>
          </w:p>
        </w:tc>
        <w:tc>
          <w:tcPr>
            <w:tcW w:type="dxa" w:w="1728"/>
          </w:tcPr>
          <w:p>
            <w:r>
              <w:t>验证主界面温度单位转换入口可见且可点击</w:t>
            </w:r>
          </w:p>
        </w:tc>
        <w:tc>
          <w:tcPr>
            <w:tcW w:type="dxa" w:w="1728"/>
          </w:tcPr>
          <w:p>
            <w:r>
              <w:t>Desc: 检查主界面是否显示温度单位转换入口，并能正常跳转至对应页面</w:t>
              <w:br/>
              <w:t>Obj: 确认温度单位转换入口存在并可操作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主界面上显示‘温度转换’入口，点击后成功进入温度单位转换服务页面</w:t>
            </w:r>
          </w:p>
        </w:tc>
      </w:tr>
      <w:tr>
        <w:tc>
          <w:tcPr>
            <w:tcW w:type="dxa" w:w="1728"/>
          </w:tcPr>
          <w:p>
            <w:r>
              <w:t>TC-03-04</w:t>
            </w:r>
          </w:p>
        </w:tc>
        <w:tc>
          <w:tcPr>
            <w:tcW w:type="dxa" w:w="1728"/>
          </w:tcPr>
          <w:p>
            <w:r>
              <w:t>验证主界面重量单位转换入口可见且可点击</w:t>
            </w:r>
          </w:p>
        </w:tc>
        <w:tc>
          <w:tcPr>
            <w:tcW w:type="dxa" w:w="1728"/>
          </w:tcPr>
          <w:p>
            <w:r>
              <w:t>Desc: 检查主界面是否显示重量单位转换入口，并能正常跳转至对应页面</w:t>
              <w:br/>
              <w:t>Obj: 确认重量单位转换入口存在并可操作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主界面上显示‘重量转换’入口，点击后成功进入重量单位转换服务页面</w:t>
            </w:r>
          </w:p>
        </w:tc>
      </w:tr>
      <w:tr>
        <w:tc>
          <w:tcPr>
            <w:tcW w:type="dxa" w:w="1728"/>
          </w:tcPr>
          <w:p>
            <w:r>
              <w:t>TC-03-05</w:t>
            </w:r>
          </w:p>
        </w:tc>
        <w:tc>
          <w:tcPr>
            <w:tcW w:type="dxa" w:w="1728"/>
          </w:tcPr>
          <w:p>
            <w:r>
              <w:t>验证主界面面积单位转换入口可见且可点击</w:t>
            </w:r>
          </w:p>
        </w:tc>
        <w:tc>
          <w:tcPr>
            <w:tcW w:type="dxa" w:w="1728"/>
          </w:tcPr>
          <w:p>
            <w:r>
              <w:t>Desc: 检查主界面是否显示面积单位转换入口，并能正常跳转至对应页面</w:t>
              <w:br/>
              <w:t>Obj: 确认面积单位转换入口存在并可操作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主界面上显示‘面积转换’入口，点击后成功进入面积单位转换服务页面</w:t>
            </w:r>
          </w:p>
        </w:tc>
      </w:tr>
      <w:tr>
        <w:tc>
          <w:tcPr>
            <w:tcW w:type="dxa" w:w="1728"/>
          </w:tcPr>
          <w:p>
            <w:r>
              <w:t>TC-03-06</w:t>
            </w:r>
          </w:p>
        </w:tc>
        <w:tc>
          <w:tcPr>
            <w:tcW w:type="dxa" w:w="1728"/>
          </w:tcPr>
          <w:p>
            <w:r>
              <w:t>验证主界面速度单位转换入口可见且可点击</w:t>
            </w:r>
          </w:p>
        </w:tc>
        <w:tc>
          <w:tcPr>
            <w:tcW w:type="dxa" w:w="1728"/>
          </w:tcPr>
          <w:p>
            <w:r>
              <w:t>Desc: 检查主界面是否显示速度单位转换入口，并能正常跳转至对应页面</w:t>
              <w:br/>
              <w:t>Obj: 确认速度单位转换入口存在并可操作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主界面上显示‘速度转换’入口，点击后成功进入速度单位转换服务页面</w:t>
            </w:r>
          </w:p>
        </w:tc>
      </w:tr>
      <w:tr>
        <w:tc>
          <w:tcPr>
            <w:tcW w:type="dxa" w:w="1728"/>
          </w:tcPr>
          <w:p>
            <w:r>
              <w:t>TC-03-07</w:t>
            </w:r>
          </w:p>
        </w:tc>
        <w:tc>
          <w:tcPr>
            <w:tcW w:type="dxa" w:w="1728"/>
          </w:tcPr>
          <w:p>
            <w:r>
              <w:t>验证主界面数据存储单位转换入口可见且可点击</w:t>
            </w:r>
          </w:p>
        </w:tc>
        <w:tc>
          <w:tcPr>
            <w:tcW w:type="dxa" w:w="1728"/>
          </w:tcPr>
          <w:p>
            <w:r>
              <w:t>Desc: 检查主界面是否显示数据存储单位转换入口，并能正常跳转至对应页面</w:t>
              <w:br/>
              <w:t>Obj: 确认数据存储单位转换入口存在并可操作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主界面上显示‘数据存储转换’入口，点击后成功进入数据存储单位转换服务页面</w:t>
            </w:r>
          </w:p>
        </w:tc>
      </w:tr>
      <w:tr>
        <w:tc>
          <w:tcPr>
            <w:tcW w:type="dxa" w:w="1728"/>
          </w:tcPr>
          <w:p>
            <w:r>
              <w:t>TC-03-08</w:t>
            </w:r>
          </w:p>
        </w:tc>
        <w:tc>
          <w:tcPr>
            <w:tcW w:type="dxa" w:w="1728"/>
          </w:tcPr>
          <w:p>
            <w:r>
              <w:t>验证主界面时间单位转换入口可见且可点击</w:t>
            </w:r>
          </w:p>
        </w:tc>
        <w:tc>
          <w:tcPr>
            <w:tcW w:type="dxa" w:w="1728"/>
          </w:tcPr>
          <w:p>
            <w:r>
              <w:t>Desc: 检查主界面是否显示时间单位转换入口，并能正常跳转至对应页面</w:t>
              <w:br/>
              <w:t>Obj: 确认时间单位转换入口存在并可操作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主界面上显示‘时间转换’入口，点击后成功进入时间单位转换服务页面</w:t>
            </w:r>
          </w:p>
        </w:tc>
      </w:tr>
      <w:tr>
        <w:tc>
          <w:tcPr>
            <w:tcW w:type="dxa" w:w="1728"/>
          </w:tcPr>
          <w:p>
            <w:r>
              <w:t>TC-03-09</w:t>
            </w:r>
          </w:p>
        </w:tc>
        <w:tc>
          <w:tcPr>
            <w:tcW w:type="dxa" w:w="1728"/>
          </w:tcPr>
          <w:p>
            <w:r>
              <w:t>验证主界面所有功能入口在小屏设备上完整显示</w:t>
            </w:r>
          </w:p>
        </w:tc>
        <w:tc>
          <w:tcPr>
            <w:tcW w:type="dxa" w:w="1728"/>
          </w:tcPr>
          <w:p>
            <w:r>
              <w:t>Desc: 检查在较小屏幕分辨率下，主界面所有功能入口是否仍完整可见且无遮挡</w:t>
              <w:br/>
              <w:t>Obj: 确保小屏设备上功能入口布局适配良好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所有功能入口均完整显示，无截断或重叠现象，支持滑动查看（如有必要）</w:t>
            </w:r>
          </w:p>
        </w:tc>
      </w:tr>
      <w:tr>
        <w:tc>
          <w:tcPr>
            <w:tcW w:type="dxa" w:w="1728"/>
          </w:tcPr>
          <w:p>
            <w:r>
              <w:t>TC-03-10</w:t>
            </w:r>
          </w:p>
        </w:tc>
        <w:tc>
          <w:tcPr>
            <w:tcW w:type="dxa" w:w="1728"/>
          </w:tcPr>
          <w:p>
            <w:r>
              <w:t>验证主界面功能入口在空网络状态下是否仍可点击跳转</w:t>
            </w:r>
          </w:p>
        </w:tc>
        <w:tc>
          <w:tcPr>
            <w:tcW w:type="dxa" w:w="1728"/>
          </w:tcPr>
          <w:p>
            <w:r>
              <w:t>Desc: 检查在网络不可用时，主界面各功能入口是否仍可正常响应点击并跳转</w:t>
              <w:br/>
              <w:t>Obj: 确保功能导航不依赖网络状态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即使无网络连接，所有功能入口仍可见且可点击，跳转正常</w:t>
            </w:r>
          </w:p>
        </w:tc>
      </w:tr>
      <w:tr>
        <w:tc>
          <w:tcPr>
            <w:tcW w:type="dxa" w:w="1728"/>
          </w:tcPr>
          <w:p>
            <w:r>
              <w:t>TC-04-01</w:t>
            </w:r>
          </w:p>
        </w:tc>
        <w:tc>
          <w:tcPr>
            <w:tcW w:type="dxa" w:w="1728"/>
          </w:tcPr>
          <w:p>
            <w:r>
              <w:t>验证主界面中文标题显示正常</w:t>
            </w:r>
          </w:p>
        </w:tc>
        <w:tc>
          <w:tcPr>
            <w:tcW w:type="dxa" w:w="1728"/>
          </w:tcPr>
          <w:p>
            <w:r>
              <w:t>Desc: 检查应用主界面中是否存在中文标题或标签，并确认其显示是否正确。</w:t>
              <w:br/>
              <w:t>Obj: 确保应用内中文文本内容能够正常渲染，无乱码或方框字符。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界面上所有中文字符清晰可读，如‘货币转换’、‘长度单位’等标签正确显示。</w:t>
            </w:r>
          </w:p>
        </w:tc>
      </w:tr>
      <w:tr>
        <w:tc>
          <w:tcPr>
            <w:tcW w:type="dxa" w:w="1728"/>
          </w:tcPr>
          <w:p>
            <w:r>
              <w:t>TC-04-02</w:t>
            </w:r>
          </w:p>
        </w:tc>
        <w:tc>
          <w:tcPr>
            <w:tcW w:type="dxa" w:w="1728"/>
          </w:tcPr>
          <w:p>
            <w:r>
              <w:t>验证货币转换页面中文名称显示</w:t>
            </w:r>
          </w:p>
        </w:tc>
        <w:tc>
          <w:tcPr>
            <w:tcW w:type="dxa" w:w="1728"/>
          </w:tcPr>
          <w:p>
            <w:r>
              <w:t>Desc: 进入货币转换功能页面，查看各种货币的中文名称是否正确展示。</w:t>
              <w:br/>
              <w:t>Obj: 确认货币列表中的中文条目（如‘人民币’、‘美元’）能正确显示。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货币选项中包含并正确显示中文名称，无乱码或缺失字体现象。</w:t>
            </w:r>
          </w:p>
        </w:tc>
      </w:tr>
      <w:tr>
        <w:tc>
          <w:tcPr>
            <w:tcW w:type="dxa" w:w="1728"/>
          </w:tcPr>
          <w:p>
            <w:r>
              <w:t>TC-04-03</w:t>
            </w:r>
          </w:p>
        </w:tc>
        <w:tc>
          <w:tcPr>
            <w:tcW w:type="dxa" w:w="1728"/>
          </w:tcPr>
          <w:p>
            <w:r>
              <w:t>验证长度单位换算项的中文标识</w:t>
            </w:r>
          </w:p>
        </w:tc>
        <w:tc>
          <w:tcPr>
            <w:tcW w:type="dxa" w:w="1728"/>
          </w:tcPr>
          <w:p>
            <w:r>
              <w:t>Desc: 在长度换算模块中查看单位名称是否支持中文显示。</w:t>
              <w:br/>
              <w:t>Obj: 确保‘米’、‘千米’、‘英寸’等中文单位名称正确呈现。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所有长度单位的中文命名均正常显示，未出现符号替代或空白。</w:t>
            </w:r>
          </w:p>
        </w:tc>
      </w:tr>
      <w:tr>
        <w:tc>
          <w:tcPr>
            <w:tcW w:type="dxa" w:w="1728"/>
          </w:tcPr>
          <w:p>
            <w:r>
              <w:t>TC-04-04</w:t>
            </w:r>
          </w:p>
        </w:tc>
        <w:tc>
          <w:tcPr>
            <w:tcW w:type="dxa" w:w="1728"/>
          </w:tcPr>
          <w:p>
            <w:r>
              <w:t>输入含中文的自定义备注信息</w:t>
            </w:r>
          </w:p>
        </w:tc>
        <w:tc>
          <w:tcPr>
            <w:tcW w:type="dxa" w:w="1728"/>
          </w:tcPr>
          <w:p>
            <w:r>
              <w:t>Desc: 在支持用户输入的字段中输入中文字符作为备注或标签。</w:t>
              <w:br/>
              <w:t>Obj: 验证应用对用户输入中文的支持能力。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输入的中文内容（如‘工资兑换’）保存后仍能完整正确显示。</w:t>
            </w:r>
          </w:p>
        </w:tc>
      </w:tr>
      <w:tr>
        <w:tc>
          <w:tcPr>
            <w:tcW w:type="dxa" w:w="1728"/>
          </w:tcPr>
          <w:p>
            <w:r>
              <w:t>TC-04-05</w:t>
            </w:r>
          </w:p>
        </w:tc>
        <w:tc>
          <w:tcPr>
            <w:tcW w:type="dxa" w:w="1728"/>
          </w:tcPr>
          <w:p>
            <w:r>
              <w:t>切换系统语言为中文后界面显示验证</w:t>
            </w:r>
          </w:p>
        </w:tc>
        <w:tc>
          <w:tcPr>
            <w:tcW w:type="dxa" w:w="1728"/>
          </w:tcPr>
          <w:p>
            <w:r>
              <w:t>Desc: 将手机系统语言设为简体中文后重新打开应用，检查界面语言响应情况。</w:t>
              <w:br/>
              <w:t>Obj: 确认应用能适配系统语言并正确加载中文资源。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应用界面自动切换为中文显示，所有菜单和按钮文字清晰可读。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