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功能测试报告</w:t>
      </w:r>
    </w:p>
    <w:p>
      <w:pPr>
        <w:pStyle w:val="Heading1"/>
      </w:pPr>
      <w:r>
        <w:t>1. 软件需求 (Software Requirements)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160"/>
          </w:tcPr>
          <w:p>
            <w:r>
              <w:t>FR-001</w:t>
            </w:r>
          </w:p>
        </w:tc>
        <w:tc>
          <w:tcPr>
            <w:tcW w:type="dxa" w:w="2160"/>
          </w:tcPr>
          <w:p>
            <w:r>
              <w:t>主界面可正常启动并提供功能入口</w:t>
            </w:r>
          </w:p>
        </w:tc>
        <w:tc>
          <w:tcPr>
            <w:tcW w:type="dxa" w:w="2160"/>
          </w:tcPr>
          <w:p>
            <w:r>
              <w:t>系统应成功加载主界面，展示清晰的功能导航区域，使用户能识别并选择后续操作路径。</w:t>
            </w:r>
          </w:p>
        </w:tc>
        <w:tc>
          <w:tcPr>
            <w:tcW w:type="dxa" w:w="2160"/>
          </w:tcPr>
          <w:p>
            <w:r>
              <w:t>功能性</w:t>
            </w:r>
          </w:p>
        </w:tc>
      </w:tr>
      <w:tr>
        <w:tc>
          <w:tcPr>
            <w:tcW w:type="dxa" w:w="2160"/>
          </w:tcPr>
          <w:p>
            <w:r>
              <w:t>FR-002</w:t>
            </w:r>
          </w:p>
        </w:tc>
        <w:tc>
          <w:tcPr>
            <w:tcW w:type="dxa" w:w="2160"/>
          </w:tcPr>
          <w:p>
            <w:r>
              <w:t>支持在应用内安全加载并渲染指定网页</w:t>
            </w:r>
          </w:p>
        </w:tc>
        <w:tc>
          <w:tcPr>
            <w:tcW w:type="dxa" w:w="2160"/>
          </w:tcPr>
          <w:p>
            <w:r>
              <w:t>系统应在独立页面中加载用户指定的合法URL（如https://example.com），启用JavaScript执行与DOM存储能力，并完整呈现网页内容及交互控件。</w:t>
            </w:r>
          </w:p>
        </w:tc>
        <w:tc>
          <w:tcPr>
            <w:tcW w:type="dxa" w:w="2160"/>
          </w:tcPr>
          <w:p>
            <w:r>
              <w:t>功能性</w:t>
            </w:r>
          </w:p>
        </w:tc>
      </w:tr>
      <w:tr>
        <w:tc>
          <w:tcPr>
            <w:tcW w:type="dxa" w:w="2160"/>
          </w:tcPr>
          <w:p>
            <w:r>
              <w:t>FR-003</w:t>
            </w:r>
          </w:p>
        </w:tc>
        <w:tc>
          <w:tcPr>
            <w:tcW w:type="dxa" w:w="2160"/>
          </w:tcPr>
          <w:p>
            <w:r>
              <w:t>网页加载失败时提供明确提示</w:t>
            </w:r>
          </w:p>
        </w:tc>
        <w:tc>
          <w:tcPr>
            <w:tcW w:type="dxa" w:w="2160"/>
          </w:tcPr>
          <w:p>
            <w:r>
              <w:t>当目标网页无法访问（如网络不可用、URL格式错误或服务器返回404）时，系统应在当前页面显示中文错误提示（例如'网页加载失败，请检查网络或网址'），不崩溃、不黑屏、不跳转至空白页。</w:t>
            </w:r>
          </w:p>
        </w:tc>
        <w:tc>
          <w:tcPr>
            <w:tcW w:type="dxa" w:w="2160"/>
          </w:tcPr>
          <w:p>
            <w:r>
              <w:t>功能性</w:t>
            </w:r>
          </w:p>
        </w:tc>
      </w:tr>
      <w:tr>
        <w:tc>
          <w:tcPr>
            <w:tcW w:type="dxa" w:w="2160"/>
          </w:tcPr>
          <w:p>
            <w:r>
              <w:t>FR-004</w:t>
            </w:r>
          </w:p>
        </w:tc>
        <w:tc>
          <w:tcPr>
            <w:tcW w:type="dxa" w:w="2160"/>
          </w:tcPr>
          <w:p>
            <w:r>
              <w:t>支持网页基础交互操作</w:t>
            </w:r>
          </w:p>
        </w:tc>
        <w:tc>
          <w:tcPr>
            <w:tcW w:type="dxa" w:w="2160"/>
          </w:tcPr>
          <w:p>
            <w:r>
              <w:t>系统应允许用户在加载完成的网页中执行点击链接、输入表单字段、提交表单等基本交互行为，且页面响应符合预期（如跳转至新页面、提交成功反馈等）。</w:t>
            </w:r>
          </w:p>
        </w:tc>
        <w:tc>
          <w:tcPr>
            <w:tcW w:type="dxa" w:w="2160"/>
          </w:tcPr>
          <w:p>
            <w:r>
              <w:t>功能性</w:t>
            </w:r>
          </w:p>
        </w:tc>
      </w:tr>
      <w:tr>
        <w:tc>
          <w:tcPr>
            <w:tcW w:type="dxa" w:w="2160"/>
          </w:tcPr>
          <w:p>
            <w:r>
              <w:t>FR-005</w:t>
            </w:r>
          </w:p>
        </w:tc>
        <w:tc>
          <w:tcPr>
            <w:tcW w:type="dxa" w:w="2160"/>
          </w:tcPr>
          <w:p>
            <w:r>
              <w:t>网页页面具备返回导航能力</w:t>
            </w:r>
          </w:p>
        </w:tc>
        <w:tc>
          <w:tcPr>
            <w:tcW w:type="dxa" w:w="2160"/>
          </w:tcPr>
          <w:p>
            <w:r>
              <w:t>系统应在网页浏览页面提供可见且可用的返回按钮（或支持系统返回键），使用户可逐级返回至上一网页或退出网页浏览回到主界面。</w:t>
            </w:r>
          </w:p>
        </w:tc>
        <w:tc>
          <w:tcPr>
            <w:tcW w:type="dxa" w:w="2160"/>
          </w:tcPr>
          <w:p>
            <w:r>
              <w:t>功能性</w:t>
            </w:r>
          </w:p>
        </w:tc>
      </w:tr>
    </w:tbl>
    <w:p>
      <w:r>
        <w:br w:type="page"/>
      </w:r>
    </w:p>
    <w:p>
      <w:pPr>
        <w:pStyle w:val="Heading1"/>
      </w:pPr>
      <w:r>
        <w:t>2. 测试需求 (Test Requirements)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Description/Objective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28"/>
          </w:tcPr>
          <w:p>
            <w:r>
              <w:t>TC-01-01</w:t>
            </w:r>
          </w:p>
        </w:tc>
        <w:tc>
          <w:tcPr>
            <w:tcW w:type="dxa" w:w="1728"/>
          </w:tcPr>
          <w:p>
            <w:r>
              <w:t>主界面正常启动并显示功能导航区域</w:t>
            </w:r>
          </w:p>
        </w:tc>
        <w:tc>
          <w:tcPr>
            <w:tcW w:type="dxa" w:w="1728"/>
          </w:tcPr>
          <w:p>
            <w:r>
              <w:t>Desc: 启动应用后，主界面成功加载，顶部标题栏、功能图标网格及底部导航栏均可见且布局合理</w:t>
              <w:br/>
              <w:t>Obj: 验证主界面能否正常启动并完整呈现核心UI组件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应用启动后立即显示带有'Converter Pro'标题栏、6个带图标的转换功能卡片（如长度、温度、货币等）、以及底部‘历史记录’和‘设置’标签页的主界面</w:t>
            </w:r>
          </w:p>
        </w:tc>
      </w:tr>
      <w:tr>
        <w:tc>
          <w:tcPr>
            <w:tcW w:type="dxa" w:w="1728"/>
          </w:tcPr>
          <w:p>
            <w:r>
              <w:t>TC-01-02</w:t>
            </w:r>
          </w:p>
        </w:tc>
        <w:tc>
          <w:tcPr>
            <w:tcW w:type="dxa" w:w="1728"/>
          </w:tcPr>
          <w:p>
            <w:r>
              <w:t>功能卡片可点击并跳转至对应转换器页面</w:t>
            </w:r>
          </w:p>
        </w:tc>
        <w:tc>
          <w:tcPr>
            <w:tcW w:type="dxa" w:w="1728"/>
          </w:tcPr>
          <w:p>
            <w:r>
              <w:t>Desc: 用户点击主界面任一功能卡片（如‘温度转换’），应跳转至该类型专用转换界面</w:t>
              <w:br/>
              <w:t>Obj: 验证功能入口的可操作性与路由正确性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点击‘温度转换’卡片后，界面平滑跳转至新Activity，顶部显示‘温度转换’标题，页面中央出现摄氏/华氏输入框及双向换算按钮</w:t>
            </w:r>
          </w:p>
        </w:tc>
      </w:tr>
      <w:tr>
        <w:tc>
          <w:tcPr>
            <w:tcW w:type="dxa" w:w="1728"/>
          </w:tcPr>
          <w:p>
            <w:r>
              <w:t>TC-01-03</w:t>
            </w:r>
          </w:p>
        </w:tc>
        <w:tc>
          <w:tcPr>
            <w:tcW w:type="dxa" w:w="1728"/>
          </w:tcPr>
          <w:p>
            <w:r>
              <w:t>主界面在弱网环境下仍能完成基础渲染</w:t>
            </w:r>
          </w:p>
        </w:tc>
        <w:tc>
          <w:tcPr>
            <w:tcW w:type="dxa" w:w="1728"/>
          </w:tcPr>
          <w:p>
            <w:r>
              <w:t>Desc: 模拟网络受限状态（如仅允许DNS解析但禁用HTTP请求）下启动应用，主界面关键元素仍可显示</w:t>
              <w:br/>
              <w:t>Obj: 验证主界面UI的离线可用性与降级展示能力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应用启动后显示完整标题栏、所有功能卡片（图标使用本地资源）、底部导航栏；货币转换卡片右上角不显示实时汇率更新标识（如‘↻’）</w:t>
            </w:r>
          </w:p>
        </w:tc>
      </w:tr>
      <w:tr>
        <w:tc>
          <w:tcPr>
            <w:tcW w:type="dxa" w:w="1728"/>
          </w:tcPr>
          <w:p>
            <w:r>
              <w:t>TC-01-04</w:t>
            </w:r>
          </w:p>
        </w:tc>
        <w:tc>
          <w:tcPr>
            <w:tcW w:type="dxa" w:w="1728"/>
          </w:tcPr>
          <w:p>
            <w:r>
              <w:t>主界面无功能数据时默认状态正确</w:t>
            </w:r>
          </w:p>
        </w:tc>
        <w:tc>
          <w:tcPr>
            <w:tcW w:type="dxa" w:w="1728"/>
          </w:tcPr>
          <w:p>
            <w:r>
              <w:t>Desc: 首次安装或清除数据后首次启动，主界面不依赖远程配置或用户历史，应展示预置功能入口</w:t>
              <w:br/>
              <w:t>Obj: 验证主界面零依赖启动的健壮性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启动后显示全部12个标准转换功能卡片（含体积、速度、数据存储等），无空白区域、无加载占位符、无崩溃提示</w:t>
            </w:r>
          </w:p>
        </w:tc>
      </w:tr>
      <w:tr>
        <w:tc>
          <w:tcPr>
            <w:tcW w:type="dxa" w:w="1728"/>
          </w:tcPr>
          <w:p>
            <w:r>
              <w:t>TC-01-05</w:t>
            </w:r>
          </w:p>
        </w:tc>
        <w:tc>
          <w:tcPr>
            <w:tcW w:type="dxa" w:w="1728"/>
          </w:tcPr>
          <w:p>
            <w:r>
              <w:t>主界面在屏幕旋转后保持功能入口可用</w:t>
            </w:r>
          </w:p>
        </w:tc>
        <w:tc>
          <w:tcPr>
            <w:tcW w:type="dxa" w:w="1728"/>
          </w:tcPr>
          <w:p>
            <w:r>
              <w:t>Desc: 用户将设备从竖屏旋转至横屏，主界面重新布局后所有功能卡片仍可识别并点击</w:t>
              <w:br/>
              <w:t>Obj: 验证主界面响应式布局与状态保持能力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横屏后功能卡片自动调整为3列布局，图标与文字清晰可读，点击任一卡片仍可正常跳转至对应转换页</w:t>
            </w:r>
          </w:p>
        </w:tc>
      </w:tr>
      <w:tr>
        <w:tc>
          <w:tcPr>
            <w:tcW w:type="dxa" w:w="1728"/>
          </w:tcPr>
          <w:p>
            <w:r>
              <w:t>TC-02-01</w:t>
            </w:r>
          </w:p>
        </w:tc>
        <w:tc>
          <w:tcPr>
            <w:tcW w:type="dxa" w:w="1728"/>
          </w:tcPr>
          <w:p>
            <w:r>
              <w:t>点击网页页面左上角返回按钮，成功返回至上一网页</w:t>
            </w:r>
          </w:p>
        </w:tc>
        <w:tc>
          <w:tcPr>
            <w:tcW w:type="dxa" w:w="1728"/>
          </w:tcPr>
          <w:p>
            <w:r>
              <w:t>Desc: 用户在网页浏览页面（如加载了外部URL的WebView页）中，点击页面左上角可见的返回箭头按钮</w:t>
              <w:br/>
              <w:t>Obj: 验证页面内返回按钮功能正常，可逐级回退至历史网页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页面刷新并显示上一个已加载的网页内容；地址栏URL更新为前一页地址；返回按钮状态根据历史栈动态启用/禁用</w:t>
            </w:r>
          </w:p>
        </w:tc>
      </w:tr>
      <w:tr>
        <w:tc>
          <w:tcPr>
            <w:tcW w:type="dxa" w:w="1728"/>
          </w:tcPr>
          <w:p>
            <w:r>
              <w:t>TC-02-02</w:t>
            </w:r>
          </w:p>
        </w:tc>
        <w:tc>
          <w:tcPr>
            <w:tcW w:type="dxa" w:w="1728"/>
          </w:tcPr>
          <w:p>
            <w:r>
              <w:t>连续点击返回按钮，从第三层网页逐级返回至主界面</w:t>
            </w:r>
          </w:p>
        </w:tc>
        <w:tc>
          <w:tcPr>
            <w:tcW w:type="dxa" w:w="1728"/>
          </w:tcPr>
          <w:p>
            <w:r>
              <w:t>Desc: 用户依次打开网页A → 网页B → 网页C，在网页C中连续两次点击左上角返回按钮</w:t>
              <w:br/>
              <w:t>Obj: 验证多层级网页导航下返回逻辑正确性及历史栈管理有效性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第一次点击后跳转至网页B，第二次点击后跳转至网页A；若再点击一次，页面关闭并返回至MainActivity首页</w:t>
            </w:r>
          </w:p>
        </w:tc>
      </w:tr>
      <w:tr>
        <w:tc>
          <w:tcPr>
            <w:tcW w:type="dxa" w:w="1728"/>
          </w:tcPr>
          <w:p>
            <w:r>
              <w:t>TC-02-03</w:t>
            </w:r>
          </w:p>
        </w:tc>
        <w:tc>
          <w:tcPr>
            <w:tcW w:type="dxa" w:w="1728"/>
          </w:tcPr>
          <w:p>
            <w:r>
              <w:t>网页为首页时点击返回按钮，退出网页浏览并回到主界面</w:t>
            </w:r>
          </w:p>
        </w:tc>
        <w:tc>
          <w:tcPr>
            <w:tcW w:type="dxa" w:w="1728"/>
          </w:tcPr>
          <w:p>
            <w:r>
              <w:t>Desc: 用户在WebView中加载并显示首页（如https://www.example.com），此时为历史栈唯一页面，点击左上角返回按钮</w:t>
              <w:br/>
              <w:t>Obj: 验证无上一级网页时，返回操作应安全退出WebView并返回应用主界面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WebView页面关闭，界面跳转至com.ferrarid.converterpro.MainActivity，底部导航栏或主功能区正常显示</w:t>
            </w:r>
          </w:p>
        </w:tc>
      </w:tr>
      <w:tr>
        <w:tc>
          <w:tcPr>
            <w:tcW w:type="dxa" w:w="1728"/>
          </w:tcPr>
          <w:p>
            <w:r>
              <w:t>TC-02-04</w:t>
            </w:r>
          </w:p>
        </w:tc>
        <w:tc>
          <w:tcPr>
            <w:tcW w:type="dxa" w:w="1728"/>
          </w:tcPr>
          <w:p>
            <w:r>
              <w:t>按系统返回键，从当前网页返回至上一网页</w:t>
            </w:r>
          </w:p>
        </w:tc>
        <w:tc>
          <w:tcPr>
            <w:tcW w:type="dxa" w:w="1728"/>
          </w:tcPr>
          <w:p>
            <w:r>
              <w:t>Desc: 用户在网页浏览页面中按下手机物理/虚拟返回键</w:t>
              <w:br/>
              <w:t>Obj: 验证系统级返回键与WebView集成正常，支持标准Android导航习惯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页面跳转至上一网页；若为栈底则退出WebView并返回MainActivity；返回键响应及时无卡顿</w:t>
            </w:r>
          </w:p>
        </w:tc>
      </w:tr>
      <w:tr>
        <w:tc>
          <w:tcPr>
            <w:tcW w:type="dxa" w:w="1728"/>
          </w:tcPr>
          <w:p>
            <w:r>
              <w:t>TC-02-05</w:t>
            </w:r>
          </w:p>
        </w:tc>
        <w:tc>
          <w:tcPr>
            <w:tcW w:type="dxa" w:w="1728"/>
          </w:tcPr>
          <w:p>
            <w:r>
              <w:t>网页加载失败时点击返回按钮，返回至主界面</w:t>
            </w:r>
          </w:p>
        </w:tc>
        <w:tc>
          <w:tcPr>
            <w:tcW w:type="dxa" w:w="1728"/>
          </w:tcPr>
          <w:p>
            <w:r>
              <w:t>Desc: 用户尝试加载一个无法访问的URL（如http://invalid-url-12345.com），页面显示‘无法连接’错误页，此时点击左上角返回按钮</w:t>
              <w:br/>
              <w:t>Obj: 验证错误状态下返回功能仍可用，避免用户陷入死页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立即退出当前WebView页面，跳转至com.ferrarid.converterpro.MainActivity，主界面完全加载并可交互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