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Bilag 2 Evaluering og tildeling</w:t>
      </w:r>
    </w:p>
    <w:p>
      <w:r>
        <w:t>Skyplattform og drift av kommunale fagsystemer · Hålandsvik kommune · Saksnr. 2026/1184</w:t>
      </w:r>
    </w:p>
    <w:p>
      <w:pPr>
        <w:pStyle w:val="Heading1"/>
      </w:pPr>
      <w:r>
        <w:t>1 Tildelingskriterier og vekter</w:t>
      </w:r>
    </w:p>
    <w:p>
      <w:r>
        <w:t>Kontrakten tildeles leverandøren med det tilbudet som har beste forhold mellom pris og kvalitet, vurdert etter kriteriene i tabellen under. Vektene summerer seg til 100 %.</w:t>
      </w:r>
    </w:p>
    <w:tbl>
      <w:tblPr>
        <w:tblStyle w:val="TableGrid"/>
        <w:tblW w:type="auto" w:w="0"/>
        <w:tblLook w:firstColumn="1" w:firstRow="1" w:lastColumn="0" w:lastRow="0" w:noHBand="0" w:noVBand="1" w:val="04A0"/>
      </w:tblPr>
      <w:tblGrid>
        <w:gridCol w:w="2880"/>
        <w:gridCol w:w="2880"/>
        <w:gridCol w:w="2880"/>
      </w:tblGrid>
      <w:tr>
        <w:tc>
          <w:tcPr>
            <w:tcW w:type="dxa" w:w="2880"/>
          </w:tcPr>
          <w:p>
            <w:r>
              <w:t>Tildelingskriterium</w:t>
            </w:r>
          </w:p>
        </w:tc>
        <w:tc>
          <w:tcPr>
            <w:tcW w:type="dxa" w:w="2880"/>
          </w:tcPr>
          <w:p>
            <w:r>
              <w:t>Vekt</w:t>
            </w:r>
          </w:p>
        </w:tc>
        <w:tc>
          <w:tcPr>
            <w:tcW w:type="dxa" w:w="2880"/>
          </w:tcPr>
          <w:p>
            <w:r>
              <w:t>Dokumentasjon og vurdering</w:t>
            </w:r>
          </w:p>
        </w:tc>
      </w:tr>
      <w:tr>
        <w:tc>
          <w:tcPr>
            <w:tcW w:type="dxa" w:w="2880"/>
          </w:tcPr>
          <w:p>
            <w:r>
              <w:t>1 Pris</w:t>
            </w:r>
          </w:p>
        </w:tc>
        <w:tc>
          <w:tcPr>
            <w:tcW w:type="dxa" w:w="2880"/>
          </w:tcPr>
          <w:p>
            <w:r>
              <w:t>40 %</w:t>
            </w:r>
          </w:p>
        </w:tc>
        <w:tc>
          <w:tcPr>
            <w:tcW w:type="dxa" w:w="2880"/>
          </w:tcPr>
          <w:p>
            <w:r>
              <w:t>Samlet evaluert pris for tre år basert på prisskjemaet i Bilag 3.</w:t>
            </w:r>
          </w:p>
        </w:tc>
      </w:tr>
      <w:tr>
        <w:tc>
          <w:tcPr>
            <w:tcW w:type="dxa" w:w="2880"/>
          </w:tcPr>
          <w:p>
            <w:r>
              <w:t>2 Kvalitet</w:t>
            </w:r>
          </w:p>
        </w:tc>
        <w:tc>
          <w:tcPr>
            <w:tcW w:type="dxa" w:w="2880"/>
          </w:tcPr>
          <w:p>
            <w:r>
              <w:t>35 %</w:t>
            </w:r>
          </w:p>
        </w:tc>
        <w:tc>
          <w:tcPr>
            <w:tcW w:type="dxa" w:w="2880"/>
          </w:tcPr>
          <w:p>
            <w:r>
              <w:t>Underkriterium 2.1 Arkitektur og sikkerhet (20 %) og underkriterium 2.2 Drift, beredskap og tjenestenivå (15 %). Besvarelsen av bør-kravene K-3.1.3, K-3.2.3, K-3.3.3, K-4.1.3, K-4.2.3, K-5.3 og K-6.2 inngår.</w:t>
            </w:r>
          </w:p>
        </w:tc>
      </w:tr>
      <w:tr>
        <w:tc>
          <w:tcPr>
            <w:tcW w:type="dxa" w:w="2880"/>
          </w:tcPr>
          <w:p>
            <w:r>
              <w:t>3 Gjennomføring og kompetanse</w:t>
            </w:r>
          </w:p>
        </w:tc>
        <w:tc>
          <w:tcPr>
            <w:tcW w:type="dxa" w:w="2880"/>
          </w:tcPr>
          <w:p>
            <w:r>
              <w:t>15 %</w:t>
            </w:r>
          </w:p>
        </w:tc>
        <w:tc>
          <w:tcPr>
            <w:tcW w:type="dxa" w:w="2880"/>
          </w:tcPr>
          <w:p>
            <w:r>
              <w:t>Plan for overgang, CV-er for nøkkelpersonell og bør-kravet K-2.2.</w:t>
            </w:r>
          </w:p>
        </w:tc>
      </w:tr>
      <w:tr>
        <w:tc>
          <w:tcPr>
            <w:tcW w:type="dxa" w:w="2880"/>
          </w:tcPr>
          <w:p>
            <w:r>
              <w:t>4 Miljø og bærekraft</w:t>
            </w:r>
          </w:p>
        </w:tc>
        <w:tc>
          <w:tcPr>
            <w:tcW w:type="dxa" w:w="2880"/>
          </w:tcPr>
          <w:p>
            <w:r>
              <w:t>10 %</w:t>
            </w:r>
          </w:p>
        </w:tc>
        <w:tc>
          <w:tcPr>
            <w:tcW w:type="dxa" w:w="2880"/>
          </w:tcPr>
          <w:p>
            <w:r>
              <w:t>Dokumentert energikilde og klimatiltak, herunder bør-kravet K-3.1.4.</w:t>
            </w:r>
          </w:p>
        </w:tc>
      </w:tr>
    </w:tbl>
    <w:p>
      <w:pPr>
        <w:pStyle w:val="Heading1"/>
      </w:pPr>
      <w:r>
        <w:t>2 Evalueringsmodell</w:t>
      </w:r>
    </w:p>
    <w:p>
      <w:r>
        <w:t>Hvert kriterium gis poeng fra 0 til 10. Pris evalueres etter en lineær modell: Laveste evaluerte pris gis 10 poeng. Øvrige tilbud gis poeng etter formelen Poeng = 10 − ((Tilbudt pris − Laveste pris) / Laveste pris) × 10. Negative poeng settes til 0.</w:t>
      </w:r>
    </w:p>
    <w:p>
      <w:r>
        <w:t>For kvalitet, gjennomføring og miljø gis 10 poeng til den besvarelsen som best oppfyller kommunens behov. Øvrige besvarelser gis poeng relativt til denne. Vektet poengsum beregnes som summen av poeng multiplisert med vekt.</w:t>
      </w:r>
    </w:p>
    <w:p>
      <w:pPr>
        <w:pStyle w:val="Heading1"/>
      </w:pPr>
      <w:r>
        <w:t>3 Avvisning og forbehold</w:t>
      </w:r>
    </w:p>
    <w:p>
      <w:r>
        <w:t>Tilbud som ikke oppfyller ett eller flere minstekrav (skal-krav) i Bilag 1, vil bli avvist. Bør-krav er ikke absolutte, men manglende eller svak oppfyllelse gir lavere poeng på det aktuelle tildelingskriteriet.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