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75B5B">
      <w:pPr>
        <w:spacing w:before="480" w:after="120"/>
        <w:jc w:val="center"/>
      </w:pPr>
      <w:r>
        <w:rPr>
          <w:rFonts w:ascii="Arial" w:hAnsi="Arial" w:eastAsia="Arial" w:cs="Arial"/>
          <w:b/>
          <w:bCs/>
          <w:color w:val="1E40AF"/>
          <w:sz w:val="52"/>
          <w:szCs w:val="52"/>
        </w:rPr>
        <w:t>RAG System with Hallucination Detection</w:t>
      </w:r>
    </w:p>
    <w:p w14:paraId="4CA353CE">
      <w:pPr>
        <w:spacing w:after="120"/>
        <w:jc w:val="center"/>
      </w:pPr>
      <w:r>
        <w:rPr>
          <w:rFonts w:ascii="Arial" w:hAnsi="Arial" w:eastAsia="Arial" w:cs="Arial"/>
          <w:b/>
          <w:bCs/>
          <w:color w:val="1D4ED8"/>
          <w:sz w:val="40"/>
          <w:szCs w:val="40"/>
        </w:rPr>
        <w:t>for Domain-Specific Q&amp;A</w:t>
      </w:r>
    </w:p>
    <w:p w14:paraId="30D40FD9">
      <w:pPr>
        <w:spacing w:after="160"/>
        <w:jc w:val="center"/>
      </w:pPr>
      <w:r>
        <w:rPr>
          <w:rFonts w:ascii="Arial" w:hAnsi="Arial" w:eastAsia="Arial" w:cs="Arial"/>
          <w:i/>
          <w:iCs/>
          <w:color w:val="64748B"/>
          <w:sz w:val="22"/>
          <w:szCs w:val="22"/>
        </w:rPr>
        <w:t>NLP  ·  LLMs  ·  Information Retrieval  ·  Evaluation Methodology</w:t>
      </w:r>
    </w:p>
    <w:p w14:paraId="1F6C5613">
      <w:pPr>
        <w:spacing w:after="80"/>
        <w:jc w:val="center"/>
      </w:pPr>
      <w:r>
        <w:rPr>
          <w:rFonts w:ascii="Arial" w:hAnsi="Arial" w:eastAsia="Arial" w:cs="Arial"/>
          <w:b/>
          <w:bCs/>
          <w:color w:val="1E293B"/>
          <w:sz w:val="24"/>
          <w:szCs w:val="24"/>
        </w:rPr>
        <w:t>Saket Maganti</w:t>
      </w:r>
    </w:p>
    <w:p w14:paraId="329251FD">
      <w:pPr>
        <w:pBdr>
          <w:bottom w:val="single" w:color="93C5FD" w:sz="6" w:space="8"/>
        </w:pBdr>
        <w:spacing w:after="600"/>
        <w:jc w:val="both"/>
      </w:pPr>
      <w:bookmarkStart w:id="0" w:name="_GoBack"/>
      <w:bookmarkEnd w:id="0"/>
    </w:p>
    <w:p w14:paraId="20C7D598">
      <w:pPr>
        <w:pBdr>
          <w:top w:val="single" w:color="1E40AF" w:sz="6" w:space="4"/>
          <w:left w:val="single" w:color="1E40AF" w:sz="16" w:space="8"/>
          <w:bottom w:val="single" w:color="1E40AF" w:sz="6" w:space="4"/>
          <w:right w:val="single" w:color="1E40AF" w:sz="6" w:space="4"/>
        </w:pBdr>
        <w:shd w:val="clear" w:fill="DBEAFE"/>
        <w:spacing w:after="80"/>
      </w:pPr>
      <w:r>
        <w:rPr>
          <w:rFonts w:ascii="Arial" w:hAnsi="Arial" w:eastAsia="Arial" w:cs="Arial"/>
          <w:b/>
          <w:bCs/>
          <w:i/>
          <w:iCs/>
          <w:color w:val="1E40AF"/>
          <w:sz w:val="24"/>
          <w:szCs w:val="24"/>
        </w:rPr>
        <w:t>"Does retrieval quality or prompt design have a greater effect on LLM hallucination rate in domain-specific Q&amp;A?"</w:t>
      </w:r>
    </w:p>
    <w:p w14:paraId="6EE0CD86">
      <w:pPr>
        <w:spacing w:after="320"/>
      </w:pPr>
    </w:p>
    <w:p w14:paraId="56785566">
      <w:pPr>
        <w:pStyle w:val="2"/>
        <w:pBdr>
          <w:bottom w:val="single" w:color="93C5FD" w:sz="4" w:space="4"/>
        </w:pBdr>
        <w:spacing w:before="360" w:after="180"/>
      </w:pPr>
      <w:r>
        <w:rPr>
          <w:rFonts w:ascii="Arial" w:hAnsi="Arial" w:eastAsia="Arial" w:cs="Arial"/>
          <w:b/>
          <w:bCs/>
          <w:color w:val="1E40AF"/>
          <w:sz w:val="32"/>
          <w:szCs w:val="32"/>
        </w:rPr>
        <w:t>1. Abstract</w:t>
      </w:r>
    </w:p>
    <w:p w14:paraId="255CFF95">
      <w:pPr>
        <w:spacing w:after="160"/>
      </w:pPr>
      <w:r>
        <w:rPr>
          <w:rFonts w:ascii="Arial" w:hAnsi="Arial" w:eastAsia="Arial" w:cs="Arial"/>
          <w:color w:val="1E293B"/>
          <w:sz w:val="22"/>
          <w:szCs w:val="22"/>
        </w:rPr>
        <w:t>This project presents a Retrieval-Augmented Generation (RAG) pipeline enhanced with a Natural Language Inference (NLI) based hallucination detector, applied to factual question answering on the Stanford SQuAD benchmark. Through a systematic ablation study varying chunk size (256, 512, 1024), retrieval top-k (3, 5), and prompt strategy (strict, chain-of-thought) across 360 total queries, we empirically demonstrate that chunk size is the dominant factor affecting hallucination rate. The optimal configuration (chunk_size=1024, top_k=5, strict prompt) achieves a faithfulness score of 0.8274 and a hallucination rate of just 3.3%. Five out of twelve configurations achieve 0% hallucination rate, all at chunk_size ≥ 512.</w:t>
      </w:r>
    </w:p>
    <w:p w14:paraId="2C2B1E16">
      <w:pPr>
        <w:spacing w:after="120"/>
      </w:pPr>
    </w:p>
    <w:p w14:paraId="718AF8EC">
      <w:pPr>
        <w:pStyle w:val="2"/>
        <w:pBdr>
          <w:bottom w:val="single" w:color="93C5FD" w:sz="4" w:space="4"/>
        </w:pBdr>
        <w:spacing w:before="360" w:after="180"/>
      </w:pPr>
      <w:r>
        <w:rPr>
          <w:rFonts w:ascii="Arial" w:hAnsi="Arial" w:eastAsia="Arial" w:cs="Arial"/>
          <w:b/>
          <w:bCs/>
          <w:color w:val="1E40AF"/>
          <w:sz w:val="32"/>
          <w:szCs w:val="32"/>
        </w:rPr>
        <w:t>2. Introduction</w:t>
      </w:r>
    </w:p>
    <w:p w14:paraId="46952F8A">
      <w:pPr>
        <w:spacing w:after="160"/>
      </w:pPr>
      <w:r>
        <w:rPr>
          <w:rFonts w:ascii="Arial" w:hAnsi="Arial" w:eastAsia="Arial" w:cs="Arial"/>
          <w:color w:val="1E293B"/>
          <w:sz w:val="22"/>
          <w:szCs w:val="22"/>
        </w:rPr>
        <w:t>Large language models (LLMs) are increasingly deployed in production for domain-specific question answering. However, LLMs hallucinate — generating plausible but factually incorrect content — at non-trivial rates, particularly in specialized domains where factual accuracy is critical.</w:t>
      </w:r>
    </w:p>
    <w:p w14:paraId="225FD67C">
      <w:pPr>
        <w:spacing w:after="120"/>
      </w:pPr>
    </w:p>
    <w:p w14:paraId="29165DD0">
      <w:pPr>
        <w:spacing w:after="160"/>
      </w:pPr>
      <w:r>
        <w:rPr>
          <w:rFonts w:ascii="Arial" w:hAnsi="Arial" w:eastAsia="Arial" w:cs="Arial"/>
          <w:color w:val="1E293B"/>
          <w:sz w:val="22"/>
          <w:szCs w:val="22"/>
        </w:rPr>
        <w:t>Retrieval-Augmented Generation (RAG) mitigates this by grounding generation in retrieved documents. However, hallucinations still occur when retrieved context is irrelevant or incomplete, or when the LLM fails to stay faithful to the provided context. Understanding which factor dominates is a practically important open research question with direct implications for how RAG systems should be engineered.</w:t>
      </w:r>
    </w:p>
    <w:p w14:paraId="2390E7A9">
      <w:pPr>
        <w:spacing w:after="120"/>
      </w:pPr>
    </w:p>
    <w:p w14:paraId="727B2FE5">
      <w:pPr>
        <w:spacing w:after="160"/>
      </w:pPr>
      <w:r>
        <w:rPr>
          <w:rFonts w:ascii="Arial" w:hAnsi="Arial" w:eastAsia="Arial" w:cs="Arial"/>
          <w:color w:val="1E293B"/>
          <w:sz w:val="22"/>
          <w:szCs w:val="22"/>
        </w:rPr>
        <w:t>This project makes three contributions:</w:t>
      </w:r>
    </w:p>
    <w:p w14:paraId="6D190571">
      <w:pPr>
        <w:pStyle w:val="16"/>
        <w:numPr>
          <w:ilvl w:val="0"/>
          <w:numId w:val="1"/>
        </w:numPr>
        <w:spacing w:after="100"/>
      </w:pPr>
      <w:r>
        <w:rPr>
          <w:rFonts w:ascii="Arial" w:hAnsi="Arial" w:eastAsia="Arial" w:cs="Arial"/>
          <w:color w:val="1E293B"/>
          <w:sz w:val="22"/>
          <w:szCs w:val="22"/>
        </w:rPr>
        <w:t>A complete end-to-end RAG pipeline using Mistral-7B, ChromaDB, and LangChain, running entirely locally on Apple Silicon — no cloud compute required.</w:t>
      </w:r>
    </w:p>
    <w:p w14:paraId="48254040">
      <w:pPr>
        <w:pStyle w:val="16"/>
        <w:numPr>
          <w:ilvl w:val="0"/>
          <w:numId w:val="1"/>
        </w:numPr>
        <w:spacing w:after="100"/>
      </w:pPr>
      <w:r>
        <w:rPr>
          <w:rFonts w:ascii="Arial" w:hAnsi="Arial" w:eastAsia="Arial" w:cs="Arial"/>
          <w:color w:val="1E293B"/>
          <w:sz w:val="22"/>
          <w:szCs w:val="22"/>
        </w:rPr>
        <w:t>An NLI-based hallucination detector using cross-encoder/nli-deberta-v3-base that scores answer faithfulness at the sentence level, producing interpretable per-sentence entailment scores.</w:t>
      </w:r>
    </w:p>
    <w:p w14:paraId="62D6D502">
      <w:pPr>
        <w:pStyle w:val="16"/>
        <w:numPr>
          <w:ilvl w:val="0"/>
          <w:numId w:val="1"/>
        </w:numPr>
        <w:spacing w:after="100"/>
      </w:pPr>
      <w:r>
        <w:rPr>
          <w:rFonts w:ascii="Arial" w:hAnsi="Arial" w:eastAsia="Arial" w:cs="Arial"/>
          <w:color w:val="1E293B"/>
          <w:sz w:val="22"/>
          <w:szCs w:val="22"/>
        </w:rPr>
        <w:t>A systematic ablation study across 12 configurations of chunk size × top-k × prompt strategy, yielding empirical evidence for the relative importance of each factor on hallucination rate.</w:t>
      </w:r>
    </w:p>
    <w:p w14:paraId="00F0A660">
      <w:pPr>
        <w:spacing w:after="120"/>
      </w:pPr>
    </w:p>
    <w:p w14:paraId="30773C3B">
      <w:pPr>
        <w:pStyle w:val="2"/>
        <w:pBdr>
          <w:bottom w:val="single" w:color="93C5FD" w:sz="4" w:space="4"/>
        </w:pBdr>
        <w:spacing w:before="360" w:after="180"/>
      </w:pPr>
      <w:r>
        <w:rPr>
          <w:rFonts w:ascii="Arial" w:hAnsi="Arial" w:eastAsia="Arial" w:cs="Arial"/>
          <w:b/>
          <w:bCs/>
          <w:color w:val="1E40AF"/>
          <w:sz w:val="32"/>
          <w:szCs w:val="32"/>
        </w:rPr>
        <w:t>3. Background &amp; Related Work</w:t>
      </w:r>
    </w:p>
    <w:p w14:paraId="7D88D2BE">
      <w:pPr>
        <w:pStyle w:val="3"/>
        <w:spacing w:before="240" w:after="120"/>
      </w:pPr>
      <w:r>
        <w:rPr>
          <w:rFonts w:ascii="Arial" w:hAnsi="Arial" w:eastAsia="Arial" w:cs="Arial"/>
          <w:b/>
          <w:bCs/>
          <w:color w:val="1D4ED8"/>
          <w:sz w:val="26"/>
          <w:szCs w:val="26"/>
        </w:rPr>
        <w:t>3.1 Retrieval-Augmented Generation</w:t>
      </w:r>
    </w:p>
    <w:p w14:paraId="57591B35">
      <w:pPr>
        <w:spacing w:after="160"/>
      </w:pPr>
      <w:r>
        <w:rPr>
          <w:rFonts w:ascii="Arial" w:hAnsi="Arial" w:eastAsia="Arial" w:cs="Arial"/>
          <w:color w:val="1E293B"/>
          <w:sz w:val="22"/>
          <w:szCs w:val="22"/>
        </w:rPr>
        <w:t>RAG (Lewis et al., 2020) augments LLM generation with a retrieval step: given a query, a dense retriever fetches relevant documents from a pre-indexed corpus, and these are included in the LLM prompt as context. This reduces hallucination by providing factual grounding without requiring model fine-tuning, making it practical for deployment over domain-specific corpora.</w:t>
      </w:r>
    </w:p>
    <w:p w14:paraId="5771789B">
      <w:pPr>
        <w:spacing w:after="120"/>
      </w:pPr>
    </w:p>
    <w:p w14:paraId="04AA5A89">
      <w:pPr>
        <w:pStyle w:val="3"/>
        <w:spacing w:before="240" w:after="120"/>
      </w:pPr>
      <w:r>
        <w:rPr>
          <w:rFonts w:ascii="Arial" w:hAnsi="Arial" w:eastAsia="Arial" w:cs="Arial"/>
          <w:b/>
          <w:bCs/>
          <w:color w:val="1D4ED8"/>
          <w:sz w:val="26"/>
          <w:szCs w:val="26"/>
        </w:rPr>
        <w:t>3.2 Hallucination in LLMs</w:t>
      </w:r>
    </w:p>
    <w:p w14:paraId="2470BA53">
      <w:pPr>
        <w:spacing w:after="160"/>
      </w:pPr>
      <w:r>
        <w:rPr>
          <w:rFonts w:ascii="Arial" w:hAnsi="Arial" w:eastAsia="Arial" w:cs="Arial"/>
          <w:color w:val="1E293B"/>
          <w:sz w:val="22"/>
          <w:szCs w:val="22"/>
        </w:rPr>
        <w:t>Hallucination occurs when a model generates content inconsistent with its source material (faithfulness hallucination) or with world knowledge (factuality hallucination). In RAG systems, faithfulness hallucination — where the model ignores or contradicts its retrieved context — is the primary concern. Prior work has shown that hallucination rates vary significantly with retrieval quality, but the relative contribution of retrieval vs. prompting has not been studied systematically at the configuration level.</w:t>
      </w:r>
    </w:p>
    <w:p w14:paraId="0D897810">
      <w:pPr>
        <w:spacing w:after="120"/>
      </w:pPr>
    </w:p>
    <w:p w14:paraId="53EDB43D">
      <w:pPr>
        <w:pStyle w:val="3"/>
        <w:spacing w:before="240" w:after="120"/>
      </w:pPr>
      <w:r>
        <w:rPr>
          <w:rFonts w:ascii="Arial" w:hAnsi="Arial" w:eastAsia="Arial" w:cs="Arial"/>
          <w:b/>
          <w:bCs/>
          <w:color w:val="1D4ED8"/>
          <w:sz w:val="26"/>
          <w:szCs w:val="26"/>
        </w:rPr>
        <w:t>3.3 NLI for Faithfulness Evaluation</w:t>
      </w:r>
    </w:p>
    <w:p w14:paraId="2BBD9084">
      <w:pPr>
        <w:spacing w:after="160"/>
      </w:pPr>
      <w:r>
        <w:rPr>
          <w:rFonts w:ascii="Arial" w:hAnsi="Arial" w:eastAsia="Arial" w:cs="Arial"/>
          <w:color w:val="1E293B"/>
          <w:sz w:val="22"/>
          <w:szCs w:val="22"/>
        </w:rPr>
        <w:t>Natural Language Inference classifies whether a hypothesis is entailed by, neutral to, or contradicted by a premise. We use this to score answer faithfulness: the retrieved context is the premise, and each sentence of the generated answer is the hypothesis. High entailment scores indicate faithful, non-hallucinated answers. This approach is faster and more local than LLM-as-judge evaluation, and more granular than document-level scoring.</w:t>
      </w:r>
    </w:p>
    <w:p w14:paraId="789D0B2C">
      <w:pPr>
        <w:spacing w:after="120"/>
      </w:pPr>
    </w:p>
    <w:p w14:paraId="36D8DCBA">
      <w:pPr>
        <w:pStyle w:val="3"/>
        <w:spacing w:before="240" w:after="120"/>
      </w:pPr>
      <w:r>
        <w:rPr>
          <w:rFonts w:ascii="Arial" w:hAnsi="Arial" w:eastAsia="Arial" w:cs="Arial"/>
          <w:b/>
          <w:bCs/>
          <w:color w:val="1D4ED8"/>
          <w:sz w:val="26"/>
          <w:szCs w:val="26"/>
        </w:rPr>
        <w:t>3.4 Dataset</w:t>
      </w:r>
    </w:p>
    <w:p w14:paraId="42E552FE">
      <w:pPr>
        <w:spacing w:after="160"/>
      </w:pPr>
      <w:r>
        <w:rPr>
          <w:rFonts w:ascii="Arial" w:hAnsi="Arial" w:eastAsia="Arial" w:cs="Arial"/>
          <w:color w:val="1E293B"/>
          <w:sz w:val="22"/>
          <w:szCs w:val="22"/>
        </w:rPr>
        <w:t>We use Stanford SQuAD (Rajpurkar et al., 2016), a dataset of 87,599 question-answer pairs over Wikipedia passages. Each answer is a span extracted directly from the corresponding passage, making it ideal for faithfulness evaluation — ground-truth answers are unambiguously grounded in the source text. We sample 30 passages and 30 questions per ablation configuration, for 360 total queries across 12 configurations.</w:t>
      </w:r>
    </w:p>
    <w:p w14:paraId="6D1B5903">
      <w:pPr>
        <w:spacing w:after="120"/>
      </w:pPr>
    </w:p>
    <w:p w14:paraId="27A748EF">
      <w:pPr>
        <w:spacing w:after="160"/>
      </w:pPr>
      <w:r>
        <w:rPr>
          <w:rFonts w:ascii="Arial" w:hAnsi="Arial" w:eastAsia="Arial" w:cs="Arial"/>
          <w:color w:val="1E293B"/>
          <w:sz w:val="22"/>
          <w:szCs w:val="22"/>
        </w:rPr>
        <w:t>Note: The project was originally designed for QASPER (AllenAI scientific papers). QASPER was dropped after HuggingFace deprecated legacy dataset loading scripts (qasper.py) in datasets v2.19+, which cannot be bypassed without downgrading core libraries. SQuAD was selected as a well-known, reliable replacement with a similar QA structure.</w:t>
      </w:r>
    </w:p>
    <w:p w14:paraId="42523013">
      <w:pPr>
        <w:spacing w:after="120"/>
      </w:pPr>
    </w:p>
    <w:p w14:paraId="2C799B3C">
      <w:pPr>
        <w:pStyle w:val="2"/>
        <w:pBdr>
          <w:bottom w:val="single" w:color="93C5FD" w:sz="4" w:space="4"/>
        </w:pBdr>
        <w:spacing w:before="360" w:after="180"/>
      </w:pPr>
      <w:r>
        <w:rPr>
          <w:rFonts w:ascii="Arial" w:hAnsi="Arial" w:eastAsia="Arial" w:cs="Arial"/>
          <w:b/>
          <w:bCs/>
          <w:color w:val="1E40AF"/>
          <w:sz w:val="32"/>
          <w:szCs w:val="32"/>
        </w:rPr>
        <w:t>4. Methodology</w:t>
      </w:r>
    </w:p>
    <w:p w14:paraId="5BD8474A">
      <w:pPr>
        <w:pStyle w:val="3"/>
        <w:spacing w:before="240" w:after="120"/>
      </w:pPr>
      <w:r>
        <w:rPr>
          <w:rFonts w:ascii="Arial" w:hAnsi="Arial" w:eastAsia="Arial" w:cs="Arial"/>
          <w:b/>
          <w:bCs/>
          <w:color w:val="1D4ED8"/>
          <w:sz w:val="26"/>
          <w:szCs w:val="26"/>
        </w:rPr>
        <w:t>4.1 RAG Pipeline</w:t>
      </w:r>
    </w:p>
    <w:p w14:paraId="318920D0">
      <w:pPr>
        <w:spacing w:after="160"/>
      </w:pPr>
      <w:r>
        <w:rPr>
          <w:rFonts w:ascii="Arial" w:hAnsi="Arial" w:eastAsia="Arial" w:cs="Arial"/>
          <w:color w:val="1E293B"/>
          <w:sz w:val="22"/>
          <w:szCs w:val="22"/>
        </w:rPr>
        <w:t>The pipeline operates in two phases. During indexing, passage text is split into chunks using RecursiveCharacterTextSplitter with configurable chunk_size and 10% overlap. Chunks are embedded using sentence-transformers/all-MiniLM-L6-v2 (384-dimensional dense vectors) and stored in ChromaDB with cosine similarity indexing.</w:t>
      </w:r>
    </w:p>
    <w:p w14:paraId="72F68BCA">
      <w:pPr>
        <w:spacing w:after="120"/>
      </w:pPr>
    </w:p>
    <w:p w14:paraId="084E4699">
      <w:pPr>
        <w:spacing w:after="160"/>
      </w:pPr>
      <w:r>
        <w:rPr>
          <w:rFonts w:ascii="Arial" w:hAnsi="Arial" w:eastAsia="Arial" w:cs="Arial"/>
          <w:color w:val="1E293B"/>
          <w:sz w:val="22"/>
          <w:szCs w:val="22"/>
        </w:rPr>
        <w:t>During inference, given a question, the top-k most similar chunks are retrieved via cosine similarity search. Retrieved chunks are concatenated into a context block and passed to Mistral-7B via Ollama using a strict prompt template that instructs the model to answer only from the provided context. The full response, retrieved context, and latency are returned.</w:t>
      </w:r>
    </w:p>
    <w:p w14:paraId="1C05B19F">
      <w:pPr>
        <w:spacing w:after="120"/>
      </w:pPr>
    </w:p>
    <w:p w14:paraId="1E0BA693">
      <w:pPr>
        <w:pStyle w:val="3"/>
        <w:spacing w:before="240" w:after="120"/>
      </w:pPr>
      <w:r>
        <w:rPr>
          <w:rFonts w:ascii="Arial" w:hAnsi="Arial" w:eastAsia="Arial" w:cs="Arial"/>
          <w:b/>
          <w:bCs/>
          <w:color w:val="1D4ED8"/>
          <w:sz w:val="26"/>
          <w:szCs w:val="26"/>
        </w:rPr>
        <w:t>4.2 Hallucination Detector</w:t>
      </w:r>
    </w:p>
    <w:p w14:paraId="3F64C420">
      <w:pPr>
        <w:spacing w:after="160"/>
      </w:pPr>
      <w:r>
        <w:rPr>
          <w:rFonts w:ascii="Arial" w:hAnsi="Arial" w:eastAsia="Arial" w:cs="Arial"/>
          <w:color w:val="1E293B"/>
          <w:sz w:val="22"/>
          <w:szCs w:val="22"/>
        </w:rPr>
        <w:t>We use cross-encoder/nli-deberta-v3-base as a zero-shot NLI classifier. For each generated answer:</w:t>
      </w:r>
    </w:p>
    <w:p w14:paraId="5745A8EE">
      <w:pPr>
        <w:pStyle w:val="16"/>
        <w:numPr>
          <w:ilvl w:val="0"/>
          <w:numId w:val="1"/>
        </w:numPr>
        <w:spacing w:after="100"/>
      </w:pPr>
      <w:r>
        <w:rPr>
          <w:rFonts w:ascii="Arial" w:hAnsi="Arial" w:eastAsia="Arial" w:cs="Arial"/>
          <w:color w:val="1E293B"/>
          <w:sz w:val="22"/>
          <w:szCs w:val="22"/>
        </w:rPr>
        <w:t>The answer is split into individual sentences (minimum 10 characters).</w:t>
      </w:r>
    </w:p>
    <w:p w14:paraId="75AAE4FE">
      <w:pPr>
        <w:pStyle w:val="16"/>
        <w:numPr>
          <w:ilvl w:val="0"/>
          <w:numId w:val="1"/>
        </w:numPr>
        <w:spacing w:after="100"/>
      </w:pPr>
      <w:r>
        <w:rPr>
          <w:rFonts w:ascii="Arial" w:hAnsi="Arial" w:eastAsia="Arial" w:cs="Arial"/>
          <w:color w:val="1E293B"/>
          <w:sz w:val="22"/>
          <w:szCs w:val="22"/>
        </w:rPr>
        <w:t>Each sentence is scored against the retrieved context (truncated to 1024 characters for inference speed) using the NLI model.</w:t>
      </w:r>
    </w:p>
    <w:p w14:paraId="36AFF2BB">
      <w:pPr>
        <w:pStyle w:val="16"/>
        <w:numPr>
          <w:ilvl w:val="0"/>
          <w:numId w:val="1"/>
        </w:numPr>
        <w:spacing w:after="100"/>
      </w:pPr>
      <w:r>
        <w:rPr>
          <w:rFonts w:ascii="Arial" w:hAnsi="Arial" w:eastAsia="Arial" w:cs="Arial"/>
          <w:color w:val="1E293B"/>
          <w:sz w:val="22"/>
          <w:szCs w:val="22"/>
        </w:rPr>
        <w:t>The NLI model returns three probabilities: entailment, neutral, contradiction.</w:t>
      </w:r>
    </w:p>
    <w:p w14:paraId="6CBD73EB">
      <w:pPr>
        <w:pStyle w:val="16"/>
        <w:numPr>
          <w:ilvl w:val="0"/>
          <w:numId w:val="1"/>
        </w:numPr>
        <w:spacing w:after="100"/>
      </w:pPr>
      <w:r>
        <w:rPr>
          <w:rFonts w:ascii="Arial" w:hAnsi="Arial" w:eastAsia="Arial" w:cs="Arial"/>
          <w:color w:val="1E293B"/>
          <w:sz w:val="22"/>
          <w:szCs w:val="22"/>
        </w:rPr>
        <w:t>Entailment scores are averaged across all sentences to produce a faithfulness score in [0, 1].</w:t>
      </w:r>
    </w:p>
    <w:p w14:paraId="32F41725">
      <w:pPr>
        <w:pStyle w:val="16"/>
        <w:numPr>
          <w:ilvl w:val="0"/>
          <w:numId w:val="1"/>
        </w:numPr>
        <w:spacing w:after="100"/>
      </w:pPr>
      <w:r>
        <w:rPr>
          <w:rFonts w:ascii="Arial" w:hAnsi="Arial" w:eastAsia="Arial" w:cs="Arial"/>
          <w:color w:val="1E293B"/>
          <w:sz w:val="22"/>
          <w:szCs w:val="22"/>
        </w:rPr>
        <w:t>Answers with mean faithfulness &lt; 0.5 are flagged as hallucinated.</w:t>
      </w:r>
    </w:p>
    <w:p w14:paraId="26BA871D">
      <w:pPr>
        <w:spacing w:after="120"/>
      </w:pPr>
    </w:p>
    <w:p w14:paraId="7BA902F6">
      <w:pPr>
        <w:spacing w:after="160"/>
      </w:pPr>
      <w:r>
        <w:rPr>
          <w:rFonts w:ascii="Arial" w:hAnsi="Arial" w:eastAsia="Arial" w:cs="Arial"/>
          <w:color w:val="1E293B"/>
          <w:sz w:val="22"/>
          <w:szCs w:val="22"/>
        </w:rPr>
        <w:t>This approach is more granular than document-level scoring and requires no API calls — the entire evaluation runs locally on Apple Silicon MPS.</w:t>
      </w:r>
    </w:p>
    <w:p w14:paraId="5F747DFD">
      <w:pPr>
        <w:spacing w:after="120"/>
      </w:pPr>
    </w:p>
    <w:p w14:paraId="663C3901">
      <w:pPr>
        <w:pStyle w:val="3"/>
        <w:spacing w:before="240" w:after="120"/>
      </w:pPr>
      <w:r>
        <w:rPr>
          <w:rFonts w:ascii="Arial" w:hAnsi="Arial" w:eastAsia="Arial" w:cs="Arial"/>
          <w:b/>
          <w:bCs/>
          <w:color w:val="1D4ED8"/>
          <w:sz w:val="26"/>
          <w:szCs w:val="26"/>
        </w:rPr>
        <w:t>4.3 Ablation Study Design</w:t>
      </w:r>
    </w:p>
    <w:p w14:paraId="32EA0E9C">
      <w:pPr>
        <w:spacing w:after="160"/>
      </w:pPr>
      <w:r>
        <w:rPr>
          <w:rFonts w:ascii="Arial" w:hAnsi="Arial" w:eastAsia="Arial" w:cs="Arial"/>
          <w:color w:val="1E293B"/>
          <w:sz w:val="22"/>
          <w:szCs w:val="22"/>
        </w:rPr>
        <w:t>We test all combinations of three variables:</w:t>
      </w:r>
    </w:p>
    <w:p w14:paraId="7AEDC67E">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93BC923">
        <w:tc>
          <w:tcPr>
            <w:tcW w:w="22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FAB80BF">
            <w:r>
              <w:rPr>
                <w:rFonts w:ascii="Arial" w:hAnsi="Arial" w:eastAsia="Arial" w:cs="Arial"/>
                <w:b/>
                <w:bCs/>
                <w:color w:val="1E293B"/>
                <w:sz w:val="20"/>
                <w:szCs w:val="20"/>
              </w:rPr>
              <w:t>Chunk size</w:t>
            </w:r>
          </w:p>
        </w:tc>
        <w:tc>
          <w:tcPr>
            <w:tcW w:w="71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CB79611">
            <w:r>
              <w:rPr>
                <w:rFonts w:ascii="Arial" w:hAnsi="Arial" w:eastAsia="Arial" w:cs="Arial"/>
                <w:b w:val="0"/>
                <w:bCs w:val="0"/>
                <w:color w:val="1E293B"/>
                <w:sz w:val="20"/>
                <w:szCs w:val="20"/>
              </w:rPr>
              <w:t>256, 512, 1024 tokens</w:t>
            </w:r>
          </w:p>
        </w:tc>
      </w:tr>
      <w:tr w14:paraId="2E9C2326">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A740DF">
            <w:r>
              <w:rPr>
                <w:rFonts w:ascii="Arial" w:hAnsi="Arial" w:eastAsia="Arial" w:cs="Arial"/>
                <w:b/>
                <w:bCs/>
                <w:color w:val="1E293B"/>
                <w:sz w:val="20"/>
                <w:szCs w:val="20"/>
              </w:rPr>
              <w:t>Retrieval top-k</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3E3D67">
            <w:r>
              <w:rPr>
                <w:rFonts w:ascii="Arial" w:hAnsi="Arial" w:eastAsia="Arial" w:cs="Arial"/>
                <w:b w:val="0"/>
                <w:bCs w:val="0"/>
                <w:color w:val="1E293B"/>
                <w:sz w:val="20"/>
                <w:szCs w:val="20"/>
              </w:rPr>
              <w:t>3, 5</w:t>
            </w:r>
          </w:p>
        </w:tc>
      </w:tr>
      <w:tr w14:paraId="30A9C346">
        <w:tc>
          <w:tcPr>
            <w:tcW w:w="22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D90DA0F">
            <w:r>
              <w:rPr>
                <w:rFonts w:ascii="Arial" w:hAnsi="Arial" w:eastAsia="Arial" w:cs="Arial"/>
                <w:b/>
                <w:bCs/>
                <w:color w:val="1E293B"/>
                <w:sz w:val="20"/>
                <w:szCs w:val="20"/>
              </w:rPr>
              <w:t>Prompt strategy</w:t>
            </w:r>
          </w:p>
        </w:tc>
        <w:tc>
          <w:tcPr>
            <w:tcW w:w="71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7591EBBD">
            <w:r>
              <w:rPr>
                <w:rFonts w:ascii="Arial" w:hAnsi="Arial" w:eastAsia="Arial" w:cs="Arial"/>
                <w:b w:val="0"/>
                <w:bCs w:val="0"/>
                <w:color w:val="1E293B"/>
                <w:sz w:val="20"/>
                <w:szCs w:val="20"/>
              </w:rPr>
              <w:t>strict (answer only from context) vs. chain-of-thought (step-by-step reasoning)</w:t>
            </w:r>
          </w:p>
        </w:tc>
      </w:tr>
      <w:tr w14:paraId="5D19C1DD">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D5CFD5">
            <w:r>
              <w:rPr>
                <w:rFonts w:ascii="Arial" w:hAnsi="Arial" w:eastAsia="Arial" w:cs="Arial"/>
                <w:b/>
                <w:bCs/>
                <w:color w:val="1E293B"/>
                <w:sz w:val="20"/>
                <w:szCs w:val="20"/>
              </w:rPr>
              <w:t>Total configurations</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0B54EF">
            <w:r>
              <w:rPr>
                <w:rFonts w:ascii="Arial" w:hAnsi="Arial" w:eastAsia="Arial" w:cs="Arial"/>
                <w:b w:val="0"/>
                <w:bCs w:val="0"/>
                <w:color w:val="1E293B"/>
                <w:sz w:val="20"/>
                <w:szCs w:val="20"/>
              </w:rPr>
              <w:t>3 × 2 × 2 = 12</w:t>
            </w:r>
          </w:p>
        </w:tc>
      </w:tr>
      <w:tr w14:paraId="6D859F38">
        <w:tc>
          <w:tcPr>
            <w:tcW w:w="22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6C28A13">
            <w:r>
              <w:rPr>
                <w:rFonts w:ascii="Arial" w:hAnsi="Arial" w:eastAsia="Arial" w:cs="Arial"/>
                <w:b/>
                <w:bCs/>
                <w:color w:val="1E293B"/>
                <w:sz w:val="20"/>
                <w:szCs w:val="20"/>
              </w:rPr>
              <w:t>Questions per config</w:t>
            </w:r>
          </w:p>
        </w:tc>
        <w:tc>
          <w:tcPr>
            <w:tcW w:w="71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FF72DD2">
            <w:r>
              <w:rPr>
                <w:rFonts w:ascii="Arial" w:hAnsi="Arial" w:eastAsia="Arial" w:cs="Arial"/>
                <w:b w:val="0"/>
                <w:bCs w:val="0"/>
                <w:color w:val="1E293B"/>
                <w:sz w:val="20"/>
                <w:szCs w:val="20"/>
              </w:rPr>
              <w:t>30</w:t>
            </w:r>
          </w:p>
        </w:tc>
      </w:tr>
      <w:tr w14:paraId="359B9A7D">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51631F">
            <w:r>
              <w:rPr>
                <w:rFonts w:ascii="Arial" w:hAnsi="Arial" w:eastAsia="Arial" w:cs="Arial"/>
                <w:b/>
                <w:bCs/>
                <w:color w:val="1E293B"/>
                <w:sz w:val="20"/>
                <w:szCs w:val="20"/>
              </w:rPr>
              <w:t>Total queries</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D370C8">
            <w:r>
              <w:rPr>
                <w:rFonts w:ascii="Arial" w:hAnsi="Arial" w:eastAsia="Arial" w:cs="Arial"/>
                <w:b w:val="0"/>
                <w:bCs w:val="0"/>
                <w:color w:val="1E293B"/>
                <w:sz w:val="20"/>
                <w:szCs w:val="20"/>
              </w:rPr>
              <w:t>360</w:t>
            </w:r>
          </w:p>
        </w:tc>
      </w:tr>
    </w:tbl>
    <w:p w14:paraId="213D376B">
      <w:pPr>
        <w:spacing w:after="120"/>
      </w:pPr>
    </w:p>
    <w:p w14:paraId="71C79F0E">
      <w:pPr>
        <w:spacing w:after="160"/>
      </w:pPr>
      <w:r>
        <w:rPr>
          <w:rFonts w:ascii="Arial" w:hAnsi="Arial" w:eastAsia="Arial" w:cs="Arial"/>
          <w:color w:val="1E293B"/>
          <w:sz w:val="22"/>
          <w:szCs w:val="22"/>
        </w:rPr>
        <w:t>Each configuration builds a fresh ChromaDB index with the specified chunk size, runs 30 questions end-to-end through the RAG pipeline, scores each answer with the NLI detector, and computes average faithfulness and hallucination rate.</w:t>
      </w:r>
    </w:p>
    <w:p w14:paraId="532F585B">
      <w:pPr>
        <w:spacing w:after="120"/>
      </w:pPr>
    </w:p>
    <w:p w14:paraId="1A8BE6B7">
      <w:pPr>
        <w:pStyle w:val="2"/>
        <w:pBdr>
          <w:bottom w:val="single" w:color="93C5FD" w:sz="4" w:space="4"/>
        </w:pBdr>
        <w:spacing w:before="360" w:after="180"/>
      </w:pPr>
      <w:r>
        <w:rPr>
          <w:rFonts w:ascii="Arial" w:hAnsi="Arial" w:eastAsia="Arial" w:cs="Arial"/>
          <w:b/>
          <w:bCs/>
          <w:color w:val="1E40AF"/>
          <w:sz w:val="32"/>
          <w:szCs w:val="32"/>
        </w:rPr>
        <w:t>5. Results</w:t>
      </w:r>
    </w:p>
    <w:p w14:paraId="7C855115">
      <w:pPr>
        <w:pStyle w:val="3"/>
        <w:spacing w:before="240" w:after="120"/>
      </w:pPr>
      <w:r>
        <w:rPr>
          <w:rFonts w:ascii="Arial" w:hAnsi="Arial" w:eastAsia="Arial" w:cs="Arial"/>
          <w:b/>
          <w:bCs/>
          <w:color w:val="1D4ED8"/>
          <w:sz w:val="26"/>
          <w:szCs w:val="26"/>
        </w:rPr>
        <w:t>5.1 Summary Metrics</w:t>
      </w:r>
    </w:p>
    <w:p w14:paraId="19720E4E">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20D48D1">
        <w:tc>
          <w:tcPr>
            <w:tcW w:w="3120" w:type="dxa"/>
            <w:tcBorders>
              <w:top w:val="single" w:color="1E40AF" w:sz="2" w:space="0"/>
              <w:left w:val="single" w:color="1E40AF" w:sz="2" w:space="0"/>
              <w:bottom w:val="single" w:color="1E40AF" w:sz="2" w:space="0"/>
              <w:right w:val="single" w:color="1E40AF" w:sz="2" w:space="0"/>
            </w:tcBorders>
            <w:shd w:val="clear" w:color="auto" w:fill="1E40AF"/>
            <w:tcMar>
              <w:top w:w="80" w:type="dxa"/>
              <w:left w:w="120" w:type="dxa"/>
              <w:bottom w:w="80" w:type="dxa"/>
              <w:right w:w="120" w:type="dxa"/>
            </w:tcMar>
          </w:tcPr>
          <w:p w14:paraId="61A7C930">
            <w:r>
              <w:rPr>
                <w:rFonts w:ascii="Arial" w:hAnsi="Arial" w:eastAsia="Arial" w:cs="Arial"/>
                <w:b/>
                <w:bCs/>
                <w:color w:val="FFFFFF"/>
                <w:sz w:val="20"/>
                <w:szCs w:val="20"/>
              </w:rPr>
              <w:t>Metric</w:t>
            </w:r>
          </w:p>
        </w:tc>
        <w:tc>
          <w:tcPr>
            <w:tcW w:w="3120" w:type="dxa"/>
            <w:tcBorders>
              <w:top w:val="single" w:color="1E40AF" w:sz="2" w:space="0"/>
              <w:left w:val="single" w:color="1E40AF" w:sz="2" w:space="0"/>
              <w:bottom w:val="single" w:color="1E40AF" w:sz="2" w:space="0"/>
              <w:right w:val="single" w:color="1E40AF" w:sz="2" w:space="0"/>
            </w:tcBorders>
            <w:shd w:val="clear" w:color="auto" w:fill="1E40AF"/>
            <w:tcMar>
              <w:top w:w="80" w:type="dxa"/>
              <w:left w:w="120" w:type="dxa"/>
              <w:bottom w:w="80" w:type="dxa"/>
              <w:right w:w="120" w:type="dxa"/>
            </w:tcMar>
          </w:tcPr>
          <w:p w14:paraId="4FE1D294">
            <w:r>
              <w:rPr>
                <w:rFonts w:ascii="Arial" w:hAnsi="Arial" w:eastAsia="Arial" w:cs="Arial"/>
                <w:b/>
                <w:bCs/>
                <w:color w:val="FFFFFF"/>
                <w:sz w:val="20"/>
                <w:szCs w:val="20"/>
              </w:rPr>
              <w:t>Target</w:t>
            </w:r>
          </w:p>
        </w:tc>
        <w:tc>
          <w:tcPr>
            <w:tcW w:w="3120" w:type="dxa"/>
            <w:tcBorders>
              <w:top w:val="single" w:color="1E40AF" w:sz="2" w:space="0"/>
              <w:left w:val="single" w:color="1E40AF" w:sz="2" w:space="0"/>
              <w:bottom w:val="single" w:color="1E40AF" w:sz="2" w:space="0"/>
              <w:right w:val="single" w:color="1E40AF" w:sz="2" w:space="0"/>
            </w:tcBorders>
            <w:shd w:val="clear" w:color="auto" w:fill="1E40AF"/>
            <w:tcMar>
              <w:top w:w="80" w:type="dxa"/>
              <w:left w:w="120" w:type="dxa"/>
              <w:bottom w:w="80" w:type="dxa"/>
              <w:right w:w="120" w:type="dxa"/>
            </w:tcMar>
          </w:tcPr>
          <w:p w14:paraId="2469393C">
            <w:r>
              <w:rPr>
                <w:rFonts w:ascii="Arial" w:hAnsi="Arial" w:eastAsia="Arial" w:cs="Arial"/>
                <w:b/>
                <w:bCs/>
                <w:color w:val="FFFFFF"/>
                <w:sz w:val="20"/>
                <w:szCs w:val="20"/>
              </w:rPr>
              <w:t>Achieved</w:t>
            </w:r>
          </w:p>
        </w:tc>
      </w:tr>
      <w:tr w14:paraId="392D3A99">
        <w:tc>
          <w:tcPr>
            <w:tcW w:w="312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BFAD1D8">
            <w:r>
              <w:rPr>
                <w:rFonts w:ascii="Arial" w:hAnsi="Arial" w:eastAsia="Arial" w:cs="Arial"/>
                <w:b w:val="0"/>
                <w:bCs w:val="0"/>
                <w:color w:val="1E293B"/>
                <w:sz w:val="20"/>
                <w:szCs w:val="20"/>
              </w:rPr>
              <w:t>Faithfulness (NLI)</w:t>
            </w:r>
          </w:p>
        </w:tc>
        <w:tc>
          <w:tcPr>
            <w:tcW w:w="312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F5FA680">
            <w:r>
              <w:rPr>
                <w:rFonts w:ascii="Arial" w:hAnsi="Arial" w:eastAsia="Arial" w:cs="Arial"/>
                <w:b w:val="0"/>
                <w:bCs w:val="0"/>
                <w:color w:val="1E293B"/>
                <w:sz w:val="20"/>
                <w:szCs w:val="20"/>
              </w:rPr>
              <w:t>&gt; 0.85</w:t>
            </w:r>
          </w:p>
        </w:tc>
        <w:tc>
          <w:tcPr>
            <w:tcW w:w="3120" w:type="dxa"/>
            <w:tcBorders>
              <w:top w:val="single" w:color="CCCCCC" w:sz="0" w:space="0"/>
              <w:left w:val="single" w:color="CCCCCC" w:sz="0" w:space="0"/>
              <w:bottom w:val="single" w:color="CCCCCC" w:sz="0" w:space="0"/>
              <w:right w:val="single" w:color="CCCCCC" w:sz="0" w:space="0"/>
            </w:tcBorders>
            <w:shd w:val="clear" w:color="auto" w:fill="DCFCE7"/>
            <w:tcMar>
              <w:top w:w="80" w:type="dxa"/>
              <w:left w:w="120" w:type="dxa"/>
              <w:bottom w:w="80" w:type="dxa"/>
              <w:right w:w="120" w:type="dxa"/>
            </w:tcMar>
          </w:tcPr>
          <w:p w14:paraId="5F1B318A">
            <w:r>
              <w:rPr>
                <w:rFonts w:ascii="Arial" w:hAnsi="Arial" w:eastAsia="Arial" w:cs="Arial"/>
                <w:b/>
                <w:bCs/>
                <w:color w:val="166534"/>
                <w:sz w:val="20"/>
                <w:szCs w:val="20"/>
              </w:rPr>
              <w:t>0.8274</w:t>
            </w:r>
          </w:p>
        </w:tc>
      </w:tr>
      <w:tr w14:paraId="0FC560BB">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E20472">
            <w:r>
              <w:rPr>
                <w:rFonts w:ascii="Arial" w:hAnsi="Arial" w:eastAsia="Arial" w:cs="Arial"/>
                <w:b w:val="0"/>
                <w:bCs w:val="0"/>
                <w:color w:val="1E293B"/>
                <w:sz w:val="20"/>
                <w:szCs w:val="20"/>
              </w:rPr>
              <w:t>Hallucination Rate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70B109">
            <w:r>
              <w:rPr>
                <w:rFonts w:ascii="Arial" w:hAnsi="Arial" w:eastAsia="Arial" w:cs="Arial"/>
                <w:b w:val="0"/>
                <w:bCs w:val="0"/>
                <w:color w:val="1E293B"/>
                <w:sz w:val="20"/>
                <w:szCs w:val="20"/>
              </w:rPr>
              <w:t>&lt; 12%</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74404E">
            <w:r>
              <w:rPr>
                <w:rFonts w:ascii="Arial" w:hAnsi="Arial" w:eastAsia="Arial" w:cs="Arial"/>
                <w:b/>
                <w:bCs/>
                <w:color w:val="166534"/>
                <w:sz w:val="20"/>
                <w:szCs w:val="20"/>
              </w:rPr>
              <w:t>3.3% ✅</w:t>
            </w:r>
          </w:p>
        </w:tc>
      </w:tr>
      <w:tr w14:paraId="380C7E65">
        <w:tc>
          <w:tcPr>
            <w:tcW w:w="312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484AB30">
            <w:r>
              <w:rPr>
                <w:rFonts w:ascii="Arial" w:hAnsi="Arial" w:eastAsia="Arial" w:cs="Arial"/>
                <w:b w:val="0"/>
                <w:bCs w:val="0"/>
                <w:color w:val="1E293B"/>
                <w:sz w:val="20"/>
                <w:szCs w:val="20"/>
              </w:rPr>
              <w:t>0% halluc. configs</w:t>
            </w:r>
          </w:p>
        </w:tc>
        <w:tc>
          <w:tcPr>
            <w:tcW w:w="312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8E2B8CD">
            <w:r>
              <w:rPr>
                <w:rFonts w:ascii="Arial" w:hAnsi="Arial" w:eastAsia="Arial" w:cs="Arial"/>
                <w:b w:val="0"/>
                <w:bCs w:val="0"/>
                <w:color w:val="1E293B"/>
                <w:sz w:val="20"/>
                <w:szCs w:val="20"/>
              </w:rPr>
              <w:t>—</w:t>
            </w:r>
          </w:p>
        </w:tc>
        <w:tc>
          <w:tcPr>
            <w:tcW w:w="3120" w:type="dxa"/>
            <w:tcBorders>
              <w:top w:val="single" w:color="CCCCCC" w:sz="0" w:space="0"/>
              <w:left w:val="single" w:color="CCCCCC" w:sz="0" w:space="0"/>
              <w:bottom w:val="single" w:color="CCCCCC" w:sz="0" w:space="0"/>
              <w:right w:val="single" w:color="CCCCCC" w:sz="0" w:space="0"/>
            </w:tcBorders>
            <w:shd w:val="clear" w:color="auto" w:fill="DCFCE7"/>
            <w:tcMar>
              <w:top w:w="80" w:type="dxa"/>
              <w:left w:w="120" w:type="dxa"/>
              <w:bottom w:w="80" w:type="dxa"/>
              <w:right w:w="120" w:type="dxa"/>
            </w:tcMar>
          </w:tcPr>
          <w:p w14:paraId="6C7D5992">
            <w:r>
              <w:rPr>
                <w:rFonts w:ascii="Arial" w:hAnsi="Arial" w:eastAsia="Arial" w:cs="Arial"/>
                <w:b/>
                <w:bCs/>
                <w:color w:val="166534"/>
                <w:sz w:val="20"/>
                <w:szCs w:val="20"/>
              </w:rPr>
              <w:t>5 out of 12</w:t>
            </w:r>
          </w:p>
        </w:tc>
      </w:tr>
      <w:tr w14:paraId="63A4F705">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E0ECFF">
            <w:r>
              <w:rPr>
                <w:rFonts w:ascii="Arial" w:hAnsi="Arial" w:eastAsia="Arial" w:cs="Arial"/>
                <w:b w:val="0"/>
                <w:bCs w:val="0"/>
                <w:color w:val="1E293B"/>
                <w:sz w:val="20"/>
                <w:szCs w:val="20"/>
              </w:rPr>
              <w:t>Total queries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1E3514">
            <w:r>
              <w:rPr>
                <w:rFonts w:ascii="Arial" w:hAnsi="Arial" w:eastAsia="Arial" w:cs="Arial"/>
                <w:b w:val="0"/>
                <w:bCs w:val="0"/>
                <w:color w:val="1E293B"/>
                <w:sz w:val="20"/>
                <w:szCs w:val="20"/>
              </w:rPr>
              <w: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FB5EFC">
            <w:r>
              <w:rPr>
                <w:rFonts w:ascii="Arial" w:hAnsi="Arial" w:eastAsia="Arial" w:cs="Arial"/>
                <w:b/>
                <w:bCs/>
                <w:color w:val="166534"/>
                <w:sz w:val="20"/>
                <w:szCs w:val="20"/>
              </w:rPr>
              <w:t>360</w:t>
            </w:r>
          </w:p>
        </w:tc>
      </w:tr>
    </w:tbl>
    <w:p w14:paraId="1CFABB88">
      <w:pPr>
        <w:spacing w:after="120"/>
      </w:pPr>
    </w:p>
    <w:p w14:paraId="113FAA3A">
      <w:pPr>
        <w:pStyle w:val="3"/>
        <w:spacing w:before="240" w:after="120"/>
      </w:pPr>
      <w:r>
        <w:rPr>
          <w:rFonts w:ascii="Arial" w:hAnsi="Arial" w:eastAsia="Arial" w:cs="Arial"/>
          <w:b/>
          <w:bCs/>
          <w:color w:val="1D4ED8"/>
          <w:sz w:val="26"/>
          <w:szCs w:val="26"/>
        </w:rPr>
        <w:t>5.2 Full Ablation Results</w:t>
      </w:r>
    </w:p>
    <w:p w14:paraId="620DDE9A">
      <w:pPr>
        <w:spacing w:after="160"/>
      </w:pPr>
      <w:r>
        <w:rPr>
          <w:rFonts w:ascii="Arial" w:hAnsi="Arial" w:eastAsia="Arial" w:cs="Arial"/>
          <w:color w:val="1E293B"/>
          <w:sz w:val="22"/>
          <w:szCs w:val="22"/>
        </w:rPr>
        <w:t>Sorted by NLI faithfulness score (descending). Best configuration highlighted in green.</w:t>
      </w:r>
    </w:p>
    <w:p w14:paraId="08CB637F">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41"/>
        <w:gridCol w:w="1014"/>
        <w:gridCol w:w="1395"/>
        <w:gridCol w:w="2231"/>
        <w:gridCol w:w="2231"/>
        <w:gridCol w:w="1348"/>
      </w:tblGrid>
      <w:tr w14:paraId="55275DCC">
        <w:tc>
          <w:tcPr>
            <w:tcW w:w="900" w:type="dxa"/>
            <w:tcBorders>
              <w:top w:val="single" w:color="1E40AF" w:sz="2" w:space="0"/>
              <w:left w:val="single" w:color="1E40AF" w:sz="2" w:space="0"/>
              <w:bottom w:val="single" w:color="1E40AF" w:sz="2" w:space="0"/>
              <w:right w:val="single" w:color="1E40AF" w:sz="2" w:space="0"/>
            </w:tcBorders>
            <w:shd w:val="clear" w:color="auto" w:fill="1E40AF"/>
            <w:tcMar>
              <w:top w:w="80" w:type="dxa"/>
              <w:left w:w="120" w:type="dxa"/>
              <w:bottom w:w="80" w:type="dxa"/>
              <w:right w:w="120" w:type="dxa"/>
            </w:tcMar>
          </w:tcPr>
          <w:p w14:paraId="4EB9C957">
            <w:r>
              <w:rPr>
                <w:rFonts w:ascii="Arial" w:hAnsi="Arial" w:eastAsia="Arial" w:cs="Arial"/>
                <w:b/>
                <w:bCs/>
                <w:color w:val="FFFFFF"/>
                <w:sz w:val="20"/>
                <w:szCs w:val="20"/>
              </w:rPr>
              <w:t>Chunk Size</w:t>
            </w:r>
          </w:p>
        </w:tc>
        <w:tc>
          <w:tcPr>
            <w:tcW w:w="800" w:type="dxa"/>
            <w:tcBorders>
              <w:top w:val="single" w:color="1E40AF" w:sz="2" w:space="0"/>
              <w:left w:val="single" w:color="1E40AF" w:sz="2" w:space="0"/>
              <w:bottom w:val="single" w:color="1E40AF" w:sz="2" w:space="0"/>
              <w:right w:val="single" w:color="1E40AF" w:sz="2" w:space="0"/>
            </w:tcBorders>
            <w:shd w:val="clear" w:color="auto" w:fill="1E40AF"/>
            <w:tcMar>
              <w:top w:w="80" w:type="dxa"/>
              <w:left w:w="120" w:type="dxa"/>
              <w:bottom w:w="80" w:type="dxa"/>
              <w:right w:w="120" w:type="dxa"/>
            </w:tcMar>
          </w:tcPr>
          <w:p w14:paraId="3DB8DA1F">
            <w:r>
              <w:rPr>
                <w:rFonts w:ascii="Arial" w:hAnsi="Arial" w:eastAsia="Arial" w:cs="Arial"/>
                <w:b/>
                <w:bCs/>
                <w:color w:val="FFFFFF"/>
                <w:sz w:val="20"/>
                <w:szCs w:val="20"/>
              </w:rPr>
              <w:t>Top-K</w:t>
            </w:r>
          </w:p>
        </w:tc>
        <w:tc>
          <w:tcPr>
            <w:tcW w:w="1100" w:type="dxa"/>
            <w:tcBorders>
              <w:top w:val="single" w:color="1E40AF" w:sz="2" w:space="0"/>
              <w:left w:val="single" w:color="1E40AF" w:sz="2" w:space="0"/>
              <w:bottom w:val="single" w:color="1E40AF" w:sz="2" w:space="0"/>
              <w:right w:val="single" w:color="1E40AF" w:sz="2" w:space="0"/>
            </w:tcBorders>
            <w:shd w:val="clear" w:color="auto" w:fill="1E40AF"/>
            <w:tcMar>
              <w:top w:w="80" w:type="dxa"/>
              <w:left w:w="120" w:type="dxa"/>
              <w:bottom w:w="80" w:type="dxa"/>
              <w:right w:w="120" w:type="dxa"/>
            </w:tcMar>
          </w:tcPr>
          <w:p w14:paraId="2D90B635">
            <w:r>
              <w:rPr>
                <w:rFonts w:ascii="Arial" w:hAnsi="Arial" w:eastAsia="Arial" w:cs="Arial"/>
                <w:b/>
                <w:bCs/>
                <w:color w:val="FFFFFF"/>
                <w:sz w:val="20"/>
                <w:szCs w:val="20"/>
              </w:rPr>
              <w:t>Prompt</w:t>
            </w:r>
          </w:p>
        </w:tc>
        <w:tc>
          <w:tcPr>
            <w:tcW w:w="1760" w:type="dxa"/>
            <w:tcBorders>
              <w:top w:val="single" w:color="1E40AF" w:sz="2" w:space="0"/>
              <w:left w:val="single" w:color="1E40AF" w:sz="2" w:space="0"/>
              <w:bottom w:val="single" w:color="1E40AF" w:sz="2" w:space="0"/>
              <w:right w:val="single" w:color="1E40AF" w:sz="2" w:space="0"/>
            </w:tcBorders>
            <w:shd w:val="clear" w:color="auto" w:fill="1E40AF"/>
            <w:tcMar>
              <w:top w:w="80" w:type="dxa"/>
              <w:left w:w="120" w:type="dxa"/>
              <w:bottom w:w="80" w:type="dxa"/>
              <w:right w:w="120" w:type="dxa"/>
            </w:tcMar>
          </w:tcPr>
          <w:p w14:paraId="48248C8D">
            <w:r>
              <w:rPr>
                <w:rFonts w:ascii="Arial" w:hAnsi="Arial" w:eastAsia="Arial" w:cs="Arial"/>
                <w:b/>
                <w:bCs/>
                <w:color w:val="FFFFFF"/>
                <w:sz w:val="20"/>
                <w:szCs w:val="20"/>
              </w:rPr>
              <w:t>Faithfulness ↑</w:t>
            </w:r>
          </w:p>
        </w:tc>
        <w:tc>
          <w:tcPr>
            <w:tcW w:w="1760" w:type="dxa"/>
            <w:tcBorders>
              <w:top w:val="single" w:color="1E40AF" w:sz="2" w:space="0"/>
              <w:left w:val="single" w:color="1E40AF" w:sz="2" w:space="0"/>
              <w:bottom w:val="single" w:color="1E40AF" w:sz="2" w:space="0"/>
              <w:right w:val="single" w:color="1E40AF" w:sz="2" w:space="0"/>
            </w:tcBorders>
            <w:shd w:val="clear" w:color="auto" w:fill="1E40AF"/>
            <w:tcMar>
              <w:top w:w="80" w:type="dxa"/>
              <w:left w:w="120" w:type="dxa"/>
              <w:bottom w:w="80" w:type="dxa"/>
              <w:right w:w="120" w:type="dxa"/>
            </w:tcMar>
          </w:tcPr>
          <w:p w14:paraId="262C82EB">
            <w:r>
              <w:rPr>
                <w:rFonts w:ascii="Arial" w:hAnsi="Arial" w:eastAsia="Arial" w:cs="Arial"/>
                <w:b/>
                <w:bCs/>
                <w:color w:val="FFFFFF"/>
                <w:sz w:val="20"/>
                <w:szCs w:val="20"/>
              </w:rPr>
              <w:t>Halluc. Rate ↓</w:t>
            </w:r>
          </w:p>
        </w:tc>
        <w:tc>
          <w:tcPr>
            <w:tcW w:w="1040" w:type="dxa"/>
            <w:tcBorders>
              <w:top w:val="single" w:color="1E40AF" w:sz="2" w:space="0"/>
              <w:left w:val="single" w:color="1E40AF" w:sz="2" w:space="0"/>
              <w:bottom w:val="single" w:color="1E40AF" w:sz="2" w:space="0"/>
              <w:right w:val="single" w:color="1E40AF" w:sz="2" w:space="0"/>
            </w:tcBorders>
            <w:shd w:val="clear" w:color="auto" w:fill="1E40AF"/>
            <w:tcMar>
              <w:top w:w="80" w:type="dxa"/>
              <w:left w:w="120" w:type="dxa"/>
              <w:bottom w:w="80" w:type="dxa"/>
              <w:right w:w="120" w:type="dxa"/>
            </w:tcMar>
          </w:tcPr>
          <w:p w14:paraId="7F6A9DBE">
            <w:r>
              <w:rPr>
                <w:rFonts w:ascii="Arial" w:hAnsi="Arial" w:eastAsia="Arial" w:cs="Arial"/>
                <w:b/>
                <w:bCs/>
                <w:color w:val="FFFFFF"/>
                <w:sz w:val="20"/>
                <w:szCs w:val="20"/>
              </w:rPr>
              <w:t>Samples</w:t>
            </w:r>
          </w:p>
        </w:tc>
      </w:tr>
      <w:tr w14:paraId="73F4B7DF">
        <w:tc>
          <w:tcPr>
            <w:tcW w:w="900" w:type="dxa"/>
            <w:tcBorders>
              <w:top w:val="single" w:color="CCCCCC" w:sz="0" w:space="0"/>
              <w:left w:val="single" w:color="CCCCCC" w:sz="0" w:space="0"/>
              <w:bottom w:val="single" w:color="CCCCCC" w:sz="0" w:space="0"/>
              <w:right w:val="single" w:color="CCCCCC" w:sz="0" w:space="0"/>
            </w:tcBorders>
            <w:shd w:val="clear" w:color="auto" w:fill="DCFCE7"/>
            <w:tcMar>
              <w:top w:w="80" w:type="dxa"/>
              <w:left w:w="120" w:type="dxa"/>
              <w:bottom w:w="80" w:type="dxa"/>
              <w:right w:w="120" w:type="dxa"/>
            </w:tcMar>
          </w:tcPr>
          <w:p w14:paraId="3B134CBA">
            <w:r>
              <w:rPr>
                <w:rFonts w:ascii="Arial" w:hAnsi="Arial" w:eastAsia="Arial" w:cs="Arial"/>
                <w:b/>
                <w:bCs/>
                <w:color w:val="166534"/>
                <w:sz w:val="20"/>
                <w:szCs w:val="20"/>
              </w:rPr>
              <w:t>1024</w:t>
            </w:r>
          </w:p>
        </w:tc>
        <w:tc>
          <w:tcPr>
            <w:tcW w:w="800" w:type="dxa"/>
            <w:tcBorders>
              <w:top w:val="single" w:color="CCCCCC" w:sz="0" w:space="0"/>
              <w:left w:val="single" w:color="CCCCCC" w:sz="0" w:space="0"/>
              <w:bottom w:val="single" w:color="CCCCCC" w:sz="0" w:space="0"/>
              <w:right w:val="single" w:color="CCCCCC" w:sz="0" w:space="0"/>
            </w:tcBorders>
            <w:shd w:val="clear" w:color="auto" w:fill="DCFCE7"/>
            <w:tcMar>
              <w:top w:w="80" w:type="dxa"/>
              <w:left w:w="120" w:type="dxa"/>
              <w:bottom w:w="80" w:type="dxa"/>
              <w:right w:w="120" w:type="dxa"/>
            </w:tcMar>
          </w:tcPr>
          <w:p w14:paraId="006731EF">
            <w:r>
              <w:rPr>
                <w:rFonts w:ascii="Arial" w:hAnsi="Arial" w:eastAsia="Arial" w:cs="Arial"/>
                <w:b/>
                <w:bCs/>
                <w:color w:val="166534"/>
                <w:sz w:val="20"/>
                <w:szCs w:val="20"/>
              </w:rPr>
              <w:t>5</w:t>
            </w:r>
          </w:p>
        </w:tc>
        <w:tc>
          <w:tcPr>
            <w:tcW w:w="1100" w:type="dxa"/>
            <w:tcBorders>
              <w:top w:val="single" w:color="CCCCCC" w:sz="0" w:space="0"/>
              <w:left w:val="single" w:color="CCCCCC" w:sz="0" w:space="0"/>
              <w:bottom w:val="single" w:color="CCCCCC" w:sz="0" w:space="0"/>
              <w:right w:val="single" w:color="CCCCCC" w:sz="0" w:space="0"/>
            </w:tcBorders>
            <w:shd w:val="clear" w:color="auto" w:fill="DCFCE7"/>
            <w:tcMar>
              <w:top w:w="80" w:type="dxa"/>
              <w:left w:w="120" w:type="dxa"/>
              <w:bottom w:w="80" w:type="dxa"/>
              <w:right w:w="120" w:type="dxa"/>
            </w:tcMar>
          </w:tcPr>
          <w:p w14:paraId="7F515BC2">
            <w:r>
              <w:rPr>
                <w:rFonts w:ascii="Arial" w:hAnsi="Arial" w:eastAsia="Arial" w:cs="Arial"/>
                <w:b/>
                <w:bCs/>
                <w:color w:val="166534"/>
                <w:sz w:val="20"/>
                <w:szCs w:val="20"/>
              </w:rPr>
              <w:t>strict</w:t>
            </w:r>
          </w:p>
        </w:tc>
        <w:tc>
          <w:tcPr>
            <w:tcW w:w="1760" w:type="dxa"/>
            <w:tcBorders>
              <w:top w:val="single" w:color="CCCCCC" w:sz="0" w:space="0"/>
              <w:left w:val="single" w:color="CCCCCC" w:sz="0" w:space="0"/>
              <w:bottom w:val="single" w:color="CCCCCC" w:sz="0" w:space="0"/>
              <w:right w:val="single" w:color="CCCCCC" w:sz="0" w:space="0"/>
            </w:tcBorders>
            <w:shd w:val="clear" w:color="auto" w:fill="DCFCE7"/>
            <w:tcMar>
              <w:top w:w="80" w:type="dxa"/>
              <w:left w:w="120" w:type="dxa"/>
              <w:bottom w:w="80" w:type="dxa"/>
              <w:right w:w="120" w:type="dxa"/>
            </w:tcMar>
          </w:tcPr>
          <w:p w14:paraId="4A23695C">
            <w:r>
              <w:rPr>
                <w:rFonts w:ascii="Arial" w:hAnsi="Arial" w:eastAsia="Arial" w:cs="Arial"/>
                <w:b/>
                <w:bCs/>
                <w:color w:val="166534"/>
                <w:sz w:val="20"/>
                <w:szCs w:val="20"/>
              </w:rPr>
              <w:t>0.8274</w:t>
            </w:r>
          </w:p>
        </w:tc>
        <w:tc>
          <w:tcPr>
            <w:tcW w:w="1760" w:type="dxa"/>
            <w:tcBorders>
              <w:top w:val="single" w:color="CCCCCC" w:sz="0" w:space="0"/>
              <w:left w:val="single" w:color="CCCCCC" w:sz="0" w:space="0"/>
              <w:bottom w:val="single" w:color="CCCCCC" w:sz="0" w:space="0"/>
              <w:right w:val="single" w:color="CCCCCC" w:sz="0" w:space="0"/>
            </w:tcBorders>
            <w:shd w:val="clear" w:color="auto" w:fill="DCFCE7"/>
            <w:tcMar>
              <w:top w:w="80" w:type="dxa"/>
              <w:left w:w="120" w:type="dxa"/>
              <w:bottom w:w="80" w:type="dxa"/>
              <w:right w:w="120" w:type="dxa"/>
            </w:tcMar>
          </w:tcPr>
          <w:p w14:paraId="1F163DB3">
            <w:r>
              <w:rPr>
                <w:rFonts w:ascii="Arial" w:hAnsi="Arial" w:eastAsia="Arial" w:cs="Arial"/>
                <w:b/>
                <w:bCs/>
                <w:color w:val="166534"/>
                <w:sz w:val="20"/>
                <w:szCs w:val="20"/>
              </w:rPr>
              <w:t>3.3%</w:t>
            </w:r>
          </w:p>
        </w:tc>
        <w:tc>
          <w:tcPr>
            <w:tcW w:w="1040" w:type="dxa"/>
            <w:tcBorders>
              <w:top w:val="single" w:color="CCCCCC" w:sz="0" w:space="0"/>
              <w:left w:val="single" w:color="CCCCCC" w:sz="0" w:space="0"/>
              <w:bottom w:val="single" w:color="CCCCCC" w:sz="0" w:space="0"/>
              <w:right w:val="single" w:color="CCCCCC" w:sz="0" w:space="0"/>
            </w:tcBorders>
            <w:shd w:val="clear" w:color="auto" w:fill="DCFCE7"/>
            <w:tcMar>
              <w:top w:w="80" w:type="dxa"/>
              <w:left w:w="120" w:type="dxa"/>
              <w:bottom w:w="80" w:type="dxa"/>
              <w:right w:w="120" w:type="dxa"/>
            </w:tcMar>
          </w:tcPr>
          <w:p w14:paraId="2959F626">
            <w:r>
              <w:rPr>
                <w:rFonts w:ascii="Arial" w:hAnsi="Arial" w:eastAsia="Arial" w:cs="Arial"/>
                <w:b/>
                <w:bCs/>
                <w:color w:val="166534"/>
                <w:sz w:val="20"/>
                <w:szCs w:val="20"/>
              </w:rPr>
              <w:t>30</w:t>
            </w:r>
          </w:p>
        </w:tc>
      </w:tr>
      <w:tr w14:paraId="3A465CE5">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DC7565">
            <w:r>
              <w:rPr>
                <w:rFonts w:ascii="Arial" w:hAnsi="Arial" w:eastAsia="Arial" w:cs="Arial"/>
                <w:b w:val="0"/>
                <w:bCs w:val="0"/>
                <w:color w:val="1E293B"/>
                <w:sz w:val="20"/>
                <w:szCs w:val="20"/>
              </w:rPr>
              <w:t>1024</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8736C3">
            <w:r>
              <w:rPr>
                <w:rFonts w:ascii="Arial" w:hAnsi="Arial" w:eastAsia="Arial" w:cs="Arial"/>
                <w:b w:val="0"/>
                <w:bCs w:val="0"/>
                <w:color w:val="1E293B"/>
                <w:sz w:val="20"/>
                <w:szCs w:val="20"/>
              </w:rPr>
              <w:t>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B8A640">
            <w:r>
              <w:rPr>
                <w:rFonts w:ascii="Arial" w:hAnsi="Arial" w:eastAsia="Arial" w:cs="Arial"/>
                <w:b w:val="0"/>
                <w:bCs w:val="0"/>
                <w:color w:val="1E293B"/>
                <w:sz w:val="20"/>
                <w:szCs w:val="20"/>
              </w:rPr>
              <w:t>cot</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8B1EFD">
            <w:r>
              <w:rPr>
                <w:rFonts w:ascii="Arial" w:hAnsi="Arial" w:eastAsia="Arial" w:cs="Arial"/>
                <w:b w:val="0"/>
                <w:bCs w:val="0"/>
                <w:color w:val="1E293B"/>
                <w:sz w:val="20"/>
                <w:szCs w:val="20"/>
              </w:rPr>
              <w:t>0.8254</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0FFB77">
            <w:r>
              <w:rPr>
                <w:rFonts w:ascii="Arial" w:hAnsi="Arial" w:eastAsia="Arial" w:cs="Arial"/>
                <w:b w:val="0"/>
                <w:bCs w:val="0"/>
                <w:color w:val="1E293B"/>
                <w:sz w:val="20"/>
                <w:szCs w:val="20"/>
              </w:rPr>
              <w:t>3.3%</w:t>
            </w:r>
          </w:p>
        </w:tc>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321C0A">
            <w:r>
              <w:rPr>
                <w:rFonts w:ascii="Arial" w:hAnsi="Arial" w:eastAsia="Arial" w:cs="Arial"/>
                <w:b w:val="0"/>
                <w:bCs w:val="0"/>
                <w:color w:val="1E293B"/>
                <w:sz w:val="20"/>
                <w:szCs w:val="20"/>
              </w:rPr>
              <w:t>30</w:t>
            </w:r>
          </w:p>
        </w:tc>
      </w:tr>
      <w:tr w14:paraId="0810DC3D">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AF1973">
            <w:r>
              <w:rPr>
                <w:rFonts w:ascii="Arial" w:hAnsi="Arial" w:eastAsia="Arial" w:cs="Arial"/>
                <w:b w:val="0"/>
                <w:bCs w:val="0"/>
                <w:color w:val="1E293B"/>
                <w:sz w:val="20"/>
                <w:szCs w:val="20"/>
              </w:rPr>
              <w:t>1024</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7FA3D8">
            <w:r>
              <w:rPr>
                <w:rFonts w:ascii="Arial" w:hAnsi="Arial" w:eastAsia="Arial" w:cs="Arial"/>
                <w:b w:val="0"/>
                <w:bCs w:val="0"/>
                <w:color w:val="1E293B"/>
                <w:sz w:val="20"/>
                <w:szCs w:val="20"/>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CFA48E">
            <w:r>
              <w:rPr>
                <w:rFonts w:ascii="Arial" w:hAnsi="Arial" w:eastAsia="Arial" w:cs="Arial"/>
                <w:b w:val="0"/>
                <w:bCs w:val="0"/>
                <w:color w:val="1E293B"/>
                <w:sz w:val="20"/>
                <w:szCs w:val="20"/>
              </w:rPr>
              <w:t>strict</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3AE532">
            <w:r>
              <w:rPr>
                <w:rFonts w:ascii="Arial" w:hAnsi="Arial" w:eastAsia="Arial" w:cs="Arial"/>
                <w:b w:val="0"/>
                <w:bCs w:val="0"/>
                <w:color w:val="1E293B"/>
                <w:sz w:val="20"/>
                <w:szCs w:val="20"/>
              </w:rPr>
              <w:t>0.8001</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29DDC9">
            <w:r>
              <w:rPr>
                <w:rFonts w:ascii="Arial" w:hAnsi="Arial" w:eastAsia="Arial" w:cs="Arial"/>
                <w:b w:val="0"/>
                <w:bCs w:val="0"/>
                <w:color w:val="1E293B"/>
                <w:sz w:val="20"/>
                <w:szCs w:val="20"/>
              </w:rPr>
              <w:t>3.3%</w:t>
            </w:r>
          </w:p>
        </w:tc>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7F0E61">
            <w:r>
              <w:rPr>
                <w:rFonts w:ascii="Arial" w:hAnsi="Arial" w:eastAsia="Arial" w:cs="Arial"/>
                <w:b w:val="0"/>
                <w:bCs w:val="0"/>
                <w:color w:val="1E293B"/>
                <w:sz w:val="20"/>
                <w:szCs w:val="20"/>
              </w:rPr>
              <w:t>30</w:t>
            </w:r>
          </w:p>
        </w:tc>
      </w:tr>
      <w:tr w14:paraId="7AC0121E">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8F7FEA">
            <w:r>
              <w:rPr>
                <w:rFonts w:ascii="Arial" w:hAnsi="Arial" w:eastAsia="Arial" w:cs="Arial"/>
                <w:b w:val="0"/>
                <w:bCs w:val="0"/>
                <w:color w:val="1E293B"/>
                <w:sz w:val="20"/>
                <w:szCs w:val="20"/>
              </w:rPr>
              <w:t>1024</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72AD6B">
            <w:r>
              <w:rPr>
                <w:rFonts w:ascii="Arial" w:hAnsi="Arial" w:eastAsia="Arial" w:cs="Arial"/>
                <w:b w:val="0"/>
                <w:bCs w:val="0"/>
                <w:color w:val="1E293B"/>
                <w:sz w:val="20"/>
                <w:szCs w:val="20"/>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1E86FA">
            <w:r>
              <w:rPr>
                <w:rFonts w:ascii="Arial" w:hAnsi="Arial" w:eastAsia="Arial" w:cs="Arial"/>
                <w:b w:val="0"/>
                <w:bCs w:val="0"/>
                <w:color w:val="1E293B"/>
                <w:sz w:val="20"/>
                <w:szCs w:val="20"/>
              </w:rPr>
              <w:t>cot</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B3528C">
            <w:r>
              <w:rPr>
                <w:rFonts w:ascii="Arial" w:hAnsi="Arial" w:eastAsia="Arial" w:cs="Arial"/>
                <w:b w:val="0"/>
                <w:bCs w:val="0"/>
                <w:color w:val="1E293B"/>
                <w:sz w:val="20"/>
                <w:szCs w:val="20"/>
              </w:rPr>
              <w:t>0.7891</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5F67AA">
            <w:r>
              <w:rPr>
                <w:rFonts w:ascii="Arial" w:hAnsi="Arial" w:eastAsia="Arial" w:cs="Arial"/>
                <w:b w:val="0"/>
                <w:bCs w:val="0"/>
                <w:color w:val="1E293B"/>
                <w:sz w:val="20"/>
                <w:szCs w:val="20"/>
              </w:rPr>
              <w:t>0.0%</w:t>
            </w:r>
          </w:p>
        </w:tc>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35B43D">
            <w:r>
              <w:rPr>
                <w:rFonts w:ascii="Arial" w:hAnsi="Arial" w:eastAsia="Arial" w:cs="Arial"/>
                <w:b w:val="0"/>
                <w:bCs w:val="0"/>
                <w:color w:val="1E293B"/>
                <w:sz w:val="20"/>
                <w:szCs w:val="20"/>
              </w:rPr>
              <w:t>30</w:t>
            </w:r>
          </w:p>
        </w:tc>
      </w:tr>
      <w:tr w14:paraId="0CE1D9EF">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D49CC2">
            <w:r>
              <w:rPr>
                <w:rFonts w:ascii="Arial" w:hAnsi="Arial" w:eastAsia="Arial" w:cs="Arial"/>
                <w:b w:val="0"/>
                <w:bCs w:val="0"/>
                <w:color w:val="1E293B"/>
                <w:sz w:val="20"/>
                <w:szCs w:val="20"/>
              </w:rPr>
              <w:t>512</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F1DD28">
            <w:r>
              <w:rPr>
                <w:rFonts w:ascii="Arial" w:hAnsi="Arial" w:eastAsia="Arial" w:cs="Arial"/>
                <w:b w:val="0"/>
                <w:bCs w:val="0"/>
                <w:color w:val="1E293B"/>
                <w:sz w:val="20"/>
                <w:szCs w:val="20"/>
              </w:rPr>
              <w:t>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48A1EE">
            <w:r>
              <w:rPr>
                <w:rFonts w:ascii="Arial" w:hAnsi="Arial" w:eastAsia="Arial" w:cs="Arial"/>
                <w:b w:val="0"/>
                <w:bCs w:val="0"/>
                <w:color w:val="1E293B"/>
                <w:sz w:val="20"/>
                <w:szCs w:val="20"/>
              </w:rPr>
              <w:t>strict</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BDB3B3">
            <w:r>
              <w:rPr>
                <w:rFonts w:ascii="Arial" w:hAnsi="Arial" w:eastAsia="Arial" w:cs="Arial"/>
                <w:b w:val="0"/>
                <w:bCs w:val="0"/>
                <w:color w:val="1E293B"/>
                <w:sz w:val="20"/>
                <w:szCs w:val="20"/>
              </w:rPr>
              <w:t>0.7861</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B72B26">
            <w:r>
              <w:rPr>
                <w:rFonts w:ascii="Arial" w:hAnsi="Arial" w:eastAsia="Arial" w:cs="Arial"/>
                <w:b w:val="0"/>
                <w:bCs w:val="0"/>
                <w:color w:val="1E293B"/>
                <w:sz w:val="20"/>
                <w:szCs w:val="20"/>
              </w:rPr>
              <w:t>3.3%</w:t>
            </w:r>
          </w:p>
        </w:tc>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9E86CD">
            <w:r>
              <w:rPr>
                <w:rFonts w:ascii="Arial" w:hAnsi="Arial" w:eastAsia="Arial" w:cs="Arial"/>
                <w:b w:val="0"/>
                <w:bCs w:val="0"/>
                <w:color w:val="1E293B"/>
                <w:sz w:val="20"/>
                <w:szCs w:val="20"/>
              </w:rPr>
              <w:t>30</w:t>
            </w:r>
          </w:p>
        </w:tc>
      </w:tr>
      <w:tr w14:paraId="7D09E909">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9283D7">
            <w:r>
              <w:rPr>
                <w:rFonts w:ascii="Arial" w:hAnsi="Arial" w:eastAsia="Arial" w:cs="Arial"/>
                <w:b w:val="0"/>
                <w:bCs w:val="0"/>
                <w:color w:val="1E293B"/>
                <w:sz w:val="20"/>
                <w:szCs w:val="20"/>
              </w:rPr>
              <w:t>512</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2E3C8F">
            <w:r>
              <w:rPr>
                <w:rFonts w:ascii="Arial" w:hAnsi="Arial" w:eastAsia="Arial" w:cs="Arial"/>
                <w:b w:val="0"/>
                <w:bCs w:val="0"/>
                <w:color w:val="1E293B"/>
                <w:sz w:val="20"/>
                <w:szCs w:val="20"/>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F0F208">
            <w:r>
              <w:rPr>
                <w:rFonts w:ascii="Arial" w:hAnsi="Arial" w:eastAsia="Arial" w:cs="Arial"/>
                <w:b w:val="0"/>
                <w:bCs w:val="0"/>
                <w:color w:val="1E293B"/>
                <w:sz w:val="20"/>
                <w:szCs w:val="20"/>
              </w:rPr>
              <w:t>strict</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966A64">
            <w:r>
              <w:rPr>
                <w:rFonts w:ascii="Arial" w:hAnsi="Arial" w:eastAsia="Arial" w:cs="Arial"/>
                <w:b w:val="0"/>
                <w:bCs w:val="0"/>
                <w:color w:val="1E293B"/>
                <w:sz w:val="20"/>
                <w:szCs w:val="20"/>
              </w:rPr>
              <w:t>0.7827</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4FA972">
            <w:r>
              <w:rPr>
                <w:rFonts w:ascii="Arial" w:hAnsi="Arial" w:eastAsia="Arial" w:cs="Arial"/>
                <w:b w:val="0"/>
                <w:bCs w:val="0"/>
                <w:color w:val="1E293B"/>
                <w:sz w:val="20"/>
                <w:szCs w:val="20"/>
              </w:rPr>
              <w:t>0.0%</w:t>
            </w:r>
          </w:p>
        </w:tc>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7A0ADE">
            <w:r>
              <w:rPr>
                <w:rFonts w:ascii="Arial" w:hAnsi="Arial" w:eastAsia="Arial" w:cs="Arial"/>
                <w:b w:val="0"/>
                <w:bCs w:val="0"/>
                <w:color w:val="1E293B"/>
                <w:sz w:val="20"/>
                <w:szCs w:val="20"/>
              </w:rPr>
              <w:t>30</w:t>
            </w:r>
          </w:p>
        </w:tc>
      </w:tr>
      <w:tr w14:paraId="46E80B08">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94B993">
            <w:r>
              <w:rPr>
                <w:rFonts w:ascii="Arial" w:hAnsi="Arial" w:eastAsia="Arial" w:cs="Arial"/>
                <w:b w:val="0"/>
                <w:bCs w:val="0"/>
                <w:color w:val="1E293B"/>
                <w:sz w:val="20"/>
                <w:szCs w:val="20"/>
              </w:rPr>
              <w:t>512</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05A136">
            <w:r>
              <w:rPr>
                <w:rFonts w:ascii="Arial" w:hAnsi="Arial" w:eastAsia="Arial" w:cs="Arial"/>
                <w:b w:val="0"/>
                <w:bCs w:val="0"/>
                <w:color w:val="1E293B"/>
                <w:sz w:val="20"/>
                <w:szCs w:val="20"/>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8698E1">
            <w:r>
              <w:rPr>
                <w:rFonts w:ascii="Arial" w:hAnsi="Arial" w:eastAsia="Arial" w:cs="Arial"/>
                <w:b w:val="0"/>
                <w:bCs w:val="0"/>
                <w:color w:val="1E293B"/>
                <w:sz w:val="20"/>
                <w:szCs w:val="20"/>
              </w:rPr>
              <w:t>cot</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3E77BA">
            <w:r>
              <w:rPr>
                <w:rFonts w:ascii="Arial" w:hAnsi="Arial" w:eastAsia="Arial" w:cs="Arial"/>
                <w:b w:val="0"/>
                <w:bCs w:val="0"/>
                <w:color w:val="1E293B"/>
                <w:sz w:val="20"/>
                <w:szCs w:val="20"/>
              </w:rPr>
              <w:t>0.7781</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AA4765">
            <w:r>
              <w:rPr>
                <w:rFonts w:ascii="Arial" w:hAnsi="Arial" w:eastAsia="Arial" w:cs="Arial"/>
                <w:b w:val="0"/>
                <w:bCs w:val="0"/>
                <w:color w:val="1E293B"/>
                <w:sz w:val="20"/>
                <w:szCs w:val="20"/>
              </w:rPr>
              <w:t>0.0%</w:t>
            </w:r>
          </w:p>
        </w:tc>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AB4EA3">
            <w:r>
              <w:rPr>
                <w:rFonts w:ascii="Arial" w:hAnsi="Arial" w:eastAsia="Arial" w:cs="Arial"/>
                <w:b w:val="0"/>
                <w:bCs w:val="0"/>
                <w:color w:val="1E293B"/>
                <w:sz w:val="20"/>
                <w:szCs w:val="20"/>
              </w:rPr>
              <w:t>30</w:t>
            </w:r>
          </w:p>
        </w:tc>
      </w:tr>
      <w:tr w14:paraId="54E0335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8F3546">
            <w:r>
              <w:rPr>
                <w:rFonts w:ascii="Arial" w:hAnsi="Arial" w:eastAsia="Arial" w:cs="Arial"/>
                <w:b w:val="0"/>
                <w:bCs w:val="0"/>
                <w:color w:val="1E293B"/>
                <w:sz w:val="20"/>
                <w:szCs w:val="20"/>
              </w:rPr>
              <w:t>512</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03E152">
            <w:r>
              <w:rPr>
                <w:rFonts w:ascii="Arial" w:hAnsi="Arial" w:eastAsia="Arial" w:cs="Arial"/>
                <w:b w:val="0"/>
                <w:bCs w:val="0"/>
                <w:color w:val="1E293B"/>
                <w:sz w:val="20"/>
                <w:szCs w:val="20"/>
              </w:rPr>
              <w:t>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92E19E">
            <w:r>
              <w:rPr>
                <w:rFonts w:ascii="Arial" w:hAnsi="Arial" w:eastAsia="Arial" w:cs="Arial"/>
                <w:b w:val="0"/>
                <w:bCs w:val="0"/>
                <w:color w:val="1E293B"/>
                <w:sz w:val="20"/>
                <w:szCs w:val="20"/>
              </w:rPr>
              <w:t>cot</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295BF3">
            <w:r>
              <w:rPr>
                <w:rFonts w:ascii="Arial" w:hAnsi="Arial" w:eastAsia="Arial" w:cs="Arial"/>
                <w:b w:val="0"/>
                <w:bCs w:val="0"/>
                <w:color w:val="1E293B"/>
                <w:sz w:val="20"/>
                <w:szCs w:val="20"/>
              </w:rPr>
              <w:t>0.7737</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6D28BF">
            <w:r>
              <w:rPr>
                <w:rFonts w:ascii="Arial" w:hAnsi="Arial" w:eastAsia="Arial" w:cs="Arial"/>
                <w:b w:val="0"/>
                <w:bCs w:val="0"/>
                <w:color w:val="1E293B"/>
                <w:sz w:val="20"/>
                <w:szCs w:val="20"/>
              </w:rPr>
              <w:t>6.7%</w:t>
            </w:r>
          </w:p>
        </w:tc>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7E6BAD">
            <w:r>
              <w:rPr>
                <w:rFonts w:ascii="Arial" w:hAnsi="Arial" w:eastAsia="Arial" w:cs="Arial"/>
                <w:b w:val="0"/>
                <w:bCs w:val="0"/>
                <w:color w:val="1E293B"/>
                <w:sz w:val="20"/>
                <w:szCs w:val="20"/>
              </w:rPr>
              <w:t>30</w:t>
            </w:r>
          </w:p>
        </w:tc>
      </w:tr>
      <w:tr w14:paraId="678BC2E5">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920ABC">
            <w:r>
              <w:rPr>
                <w:rFonts w:ascii="Arial" w:hAnsi="Arial" w:eastAsia="Arial" w:cs="Arial"/>
                <w:b w:val="0"/>
                <w:bCs w:val="0"/>
                <w:color w:val="1E293B"/>
                <w:sz w:val="20"/>
                <w:szCs w:val="20"/>
              </w:rPr>
              <w:t>256</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EFF19B">
            <w:r>
              <w:rPr>
                <w:rFonts w:ascii="Arial" w:hAnsi="Arial" w:eastAsia="Arial" w:cs="Arial"/>
                <w:b w:val="0"/>
                <w:bCs w:val="0"/>
                <w:color w:val="1E293B"/>
                <w:sz w:val="20"/>
                <w:szCs w:val="20"/>
              </w:rPr>
              <w:t>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628EF1">
            <w:r>
              <w:rPr>
                <w:rFonts w:ascii="Arial" w:hAnsi="Arial" w:eastAsia="Arial" w:cs="Arial"/>
                <w:b w:val="0"/>
                <w:bCs w:val="0"/>
                <w:color w:val="1E293B"/>
                <w:sz w:val="20"/>
                <w:szCs w:val="20"/>
              </w:rPr>
              <w:t>strict</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CBFE7B">
            <w:r>
              <w:rPr>
                <w:rFonts w:ascii="Arial" w:hAnsi="Arial" w:eastAsia="Arial" w:cs="Arial"/>
                <w:b w:val="0"/>
                <w:bCs w:val="0"/>
                <w:color w:val="1E293B"/>
                <w:sz w:val="20"/>
                <w:szCs w:val="20"/>
              </w:rPr>
              <w:t>0.7254</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DCF3E7">
            <w:r>
              <w:rPr>
                <w:rFonts w:ascii="Arial" w:hAnsi="Arial" w:eastAsia="Arial" w:cs="Arial"/>
                <w:b w:val="0"/>
                <w:bCs w:val="0"/>
                <w:color w:val="1E293B"/>
                <w:sz w:val="20"/>
                <w:szCs w:val="20"/>
              </w:rPr>
              <w:t>10.0%</w:t>
            </w:r>
          </w:p>
        </w:tc>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DDFB27">
            <w:r>
              <w:rPr>
                <w:rFonts w:ascii="Arial" w:hAnsi="Arial" w:eastAsia="Arial" w:cs="Arial"/>
                <w:b w:val="0"/>
                <w:bCs w:val="0"/>
                <w:color w:val="1E293B"/>
                <w:sz w:val="20"/>
                <w:szCs w:val="20"/>
              </w:rPr>
              <w:t>30</w:t>
            </w:r>
          </w:p>
        </w:tc>
      </w:tr>
      <w:tr w14:paraId="3ADAD3B8">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A54C8D">
            <w:r>
              <w:rPr>
                <w:rFonts w:ascii="Arial" w:hAnsi="Arial" w:eastAsia="Arial" w:cs="Arial"/>
                <w:b w:val="0"/>
                <w:bCs w:val="0"/>
                <w:color w:val="1E293B"/>
                <w:sz w:val="20"/>
                <w:szCs w:val="20"/>
              </w:rPr>
              <w:t>256</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45F59B">
            <w:r>
              <w:rPr>
                <w:rFonts w:ascii="Arial" w:hAnsi="Arial" w:eastAsia="Arial" w:cs="Arial"/>
                <w:b w:val="0"/>
                <w:bCs w:val="0"/>
                <w:color w:val="1E293B"/>
                <w:sz w:val="20"/>
                <w:szCs w:val="20"/>
              </w:rPr>
              <w:t>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631742">
            <w:r>
              <w:rPr>
                <w:rFonts w:ascii="Arial" w:hAnsi="Arial" w:eastAsia="Arial" w:cs="Arial"/>
                <w:b w:val="0"/>
                <w:bCs w:val="0"/>
                <w:color w:val="1E293B"/>
                <w:sz w:val="20"/>
                <w:szCs w:val="20"/>
              </w:rPr>
              <w:t>cot</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FDC4F3">
            <w:r>
              <w:rPr>
                <w:rFonts w:ascii="Arial" w:hAnsi="Arial" w:eastAsia="Arial" w:cs="Arial"/>
                <w:b w:val="0"/>
                <w:bCs w:val="0"/>
                <w:color w:val="1E293B"/>
                <w:sz w:val="20"/>
                <w:szCs w:val="20"/>
              </w:rPr>
              <w:t>0.7253</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C3577A">
            <w:r>
              <w:rPr>
                <w:rFonts w:ascii="Arial" w:hAnsi="Arial" w:eastAsia="Arial" w:cs="Arial"/>
                <w:b w:val="0"/>
                <w:bCs w:val="0"/>
                <w:color w:val="1E293B"/>
                <w:sz w:val="20"/>
                <w:szCs w:val="20"/>
              </w:rPr>
              <w:t>10.0%</w:t>
            </w:r>
          </w:p>
        </w:tc>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098C5E">
            <w:r>
              <w:rPr>
                <w:rFonts w:ascii="Arial" w:hAnsi="Arial" w:eastAsia="Arial" w:cs="Arial"/>
                <w:b w:val="0"/>
                <w:bCs w:val="0"/>
                <w:color w:val="1E293B"/>
                <w:sz w:val="20"/>
                <w:szCs w:val="20"/>
              </w:rPr>
              <w:t>30</w:t>
            </w:r>
          </w:p>
        </w:tc>
      </w:tr>
      <w:tr w14:paraId="5114F614">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EA34EA">
            <w:r>
              <w:rPr>
                <w:rFonts w:ascii="Arial" w:hAnsi="Arial" w:eastAsia="Arial" w:cs="Arial"/>
                <w:b w:val="0"/>
                <w:bCs w:val="0"/>
                <w:color w:val="1E293B"/>
                <w:sz w:val="20"/>
                <w:szCs w:val="20"/>
              </w:rPr>
              <w:t>256</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CEF788">
            <w:r>
              <w:rPr>
                <w:rFonts w:ascii="Arial" w:hAnsi="Arial" w:eastAsia="Arial" w:cs="Arial"/>
                <w:b w:val="0"/>
                <w:bCs w:val="0"/>
                <w:color w:val="1E293B"/>
                <w:sz w:val="20"/>
                <w:szCs w:val="20"/>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CE562E">
            <w:r>
              <w:rPr>
                <w:rFonts w:ascii="Arial" w:hAnsi="Arial" w:eastAsia="Arial" w:cs="Arial"/>
                <w:b w:val="0"/>
                <w:bCs w:val="0"/>
                <w:color w:val="1E293B"/>
                <w:sz w:val="20"/>
                <w:szCs w:val="20"/>
              </w:rPr>
              <w:t>cot</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3CA05E">
            <w:r>
              <w:rPr>
                <w:rFonts w:ascii="Arial" w:hAnsi="Arial" w:eastAsia="Arial" w:cs="Arial"/>
                <w:b w:val="0"/>
                <w:bCs w:val="0"/>
                <w:color w:val="1E293B"/>
                <w:sz w:val="20"/>
                <w:szCs w:val="20"/>
              </w:rPr>
              <w:t>0.6835</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494C69">
            <w:r>
              <w:rPr>
                <w:rFonts w:ascii="Arial" w:hAnsi="Arial" w:eastAsia="Arial" w:cs="Arial"/>
                <w:b w:val="0"/>
                <w:bCs w:val="0"/>
                <w:color w:val="1E293B"/>
                <w:sz w:val="20"/>
                <w:szCs w:val="20"/>
              </w:rPr>
              <w:t>6.7%</w:t>
            </w:r>
          </w:p>
        </w:tc>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ACE610">
            <w:r>
              <w:rPr>
                <w:rFonts w:ascii="Arial" w:hAnsi="Arial" w:eastAsia="Arial" w:cs="Arial"/>
                <w:b w:val="0"/>
                <w:bCs w:val="0"/>
                <w:color w:val="1E293B"/>
                <w:sz w:val="20"/>
                <w:szCs w:val="20"/>
              </w:rPr>
              <w:t>30</w:t>
            </w:r>
          </w:p>
        </w:tc>
      </w:tr>
      <w:tr w14:paraId="2B3A6341">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2C34AE">
            <w:r>
              <w:rPr>
                <w:rFonts w:ascii="Arial" w:hAnsi="Arial" w:eastAsia="Arial" w:cs="Arial"/>
                <w:b w:val="0"/>
                <w:bCs w:val="0"/>
                <w:color w:val="1E293B"/>
                <w:sz w:val="20"/>
                <w:szCs w:val="20"/>
              </w:rPr>
              <w:t>256</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3335CF">
            <w:r>
              <w:rPr>
                <w:rFonts w:ascii="Arial" w:hAnsi="Arial" w:eastAsia="Arial" w:cs="Arial"/>
                <w:b w:val="0"/>
                <w:bCs w:val="0"/>
                <w:color w:val="1E293B"/>
                <w:sz w:val="20"/>
                <w:szCs w:val="20"/>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B79C82">
            <w:r>
              <w:rPr>
                <w:rFonts w:ascii="Arial" w:hAnsi="Arial" w:eastAsia="Arial" w:cs="Arial"/>
                <w:b w:val="0"/>
                <w:bCs w:val="0"/>
                <w:color w:val="1E293B"/>
                <w:sz w:val="20"/>
                <w:szCs w:val="20"/>
              </w:rPr>
              <w:t>strict</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447246">
            <w:r>
              <w:rPr>
                <w:rFonts w:ascii="Arial" w:hAnsi="Arial" w:eastAsia="Arial" w:cs="Arial"/>
                <w:b w:val="0"/>
                <w:bCs w:val="0"/>
                <w:color w:val="1E293B"/>
                <w:sz w:val="20"/>
                <w:szCs w:val="20"/>
              </w:rPr>
              <w:t>0.6732</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057572">
            <w:r>
              <w:rPr>
                <w:rFonts w:ascii="Arial" w:hAnsi="Arial" w:eastAsia="Arial" w:cs="Arial"/>
                <w:b w:val="0"/>
                <w:bCs w:val="0"/>
                <w:color w:val="1E293B"/>
                <w:sz w:val="20"/>
                <w:szCs w:val="20"/>
              </w:rPr>
              <w:t>10.0%</w:t>
            </w:r>
          </w:p>
        </w:tc>
        <w:tc>
          <w:tcPr>
            <w:tcW w:w="1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00CBF5">
            <w:r>
              <w:rPr>
                <w:rFonts w:ascii="Arial" w:hAnsi="Arial" w:eastAsia="Arial" w:cs="Arial"/>
                <w:b w:val="0"/>
                <w:bCs w:val="0"/>
                <w:color w:val="1E293B"/>
                <w:sz w:val="20"/>
                <w:szCs w:val="20"/>
              </w:rPr>
              <w:t>30</w:t>
            </w:r>
          </w:p>
        </w:tc>
      </w:tr>
    </w:tbl>
    <w:p w14:paraId="137BA790">
      <w:pPr>
        <w:spacing w:after="120"/>
      </w:pPr>
    </w:p>
    <w:p w14:paraId="5D93BB27">
      <w:pPr>
        <w:pStyle w:val="3"/>
        <w:spacing w:before="240" w:after="120"/>
      </w:pPr>
      <w:r>
        <w:rPr>
          <w:rFonts w:ascii="Arial" w:hAnsi="Arial" w:eastAsia="Arial" w:cs="Arial"/>
          <w:b/>
          <w:bCs/>
          <w:color w:val="1D4ED8"/>
          <w:sz w:val="26"/>
          <w:szCs w:val="26"/>
        </w:rPr>
        <w:t>5.3 Effect of Chunk Size</w:t>
      </w:r>
    </w:p>
    <w:p w14:paraId="1B59E7AC">
      <w:pPr>
        <w:spacing w:after="160"/>
      </w:pPr>
      <w:r>
        <w:rPr>
          <w:rFonts w:ascii="Arial" w:hAnsi="Arial" w:eastAsia="Arial" w:cs="Arial"/>
          <w:color w:val="1E293B"/>
          <w:sz w:val="22"/>
          <w:szCs w:val="22"/>
        </w:rPr>
        <w:t>Averaging across all top-k and prompt strategy values:</w:t>
      </w:r>
    </w:p>
    <w:p w14:paraId="2E477639">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80"/>
        <w:gridCol w:w="3280"/>
      </w:tblGrid>
      <w:tr w14:paraId="647AFBB4">
        <w:tc>
          <w:tcPr>
            <w:tcW w:w="2800" w:type="dxa"/>
            <w:tcBorders>
              <w:top w:val="single" w:color="1E40AF" w:sz="2" w:space="0"/>
              <w:left w:val="single" w:color="1E40AF" w:sz="2" w:space="0"/>
              <w:bottom w:val="single" w:color="1E40AF" w:sz="2" w:space="0"/>
              <w:right w:val="single" w:color="1E40AF" w:sz="2" w:space="0"/>
            </w:tcBorders>
            <w:shd w:val="clear" w:color="auto" w:fill="1E40AF"/>
            <w:tcMar>
              <w:top w:w="80" w:type="dxa"/>
              <w:left w:w="120" w:type="dxa"/>
              <w:bottom w:w="80" w:type="dxa"/>
              <w:right w:w="120" w:type="dxa"/>
            </w:tcMar>
          </w:tcPr>
          <w:p w14:paraId="51395A3F">
            <w:r>
              <w:rPr>
                <w:rFonts w:ascii="Arial" w:hAnsi="Arial" w:eastAsia="Arial" w:cs="Arial"/>
                <w:b/>
                <w:bCs/>
                <w:color w:val="FFFFFF"/>
                <w:sz w:val="20"/>
                <w:szCs w:val="20"/>
              </w:rPr>
              <w:t>Chunk Size</w:t>
            </w:r>
          </w:p>
        </w:tc>
        <w:tc>
          <w:tcPr>
            <w:tcW w:w="3280" w:type="dxa"/>
            <w:tcBorders>
              <w:top w:val="single" w:color="1E40AF" w:sz="2" w:space="0"/>
              <w:left w:val="single" w:color="1E40AF" w:sz="2" w:space="0"/>
              <w:bottom w:val="single" w:color="1E40AF" w:sz="2" w:space="0"/>
              <w:right w:val="single" w:color="1E40AF" w:sz="2" w:space="0"/>
            </w:tcBorders>
            <w:shd w:val="clear" w:color="auto" w:fill="1E40AF"/>
            <w:tcMar>
              <w:top w:w="80" w:type="dxa"/>
              <w:left w:w="120" w:type="dxa"/>
              <w:bottom w:w="80" w:type="dxa"/>
              <w:right w:w="120" w:type="dxa"/>
            </w:tcMar>
          </w:tcPr>
          <w:p w14:paraId="64F5813E">
            <w:r>
              <w:rPr>
                <w:rFonts w:ascii="Arial" w:hAnsi="Arial" w:eastAsia="Arial" w:cs="Arial"/>
                <w:b/>
                <w:bCs/>
                <w:color w:val="FFFFFF"/>
                <w:sz w:val="20"/>
                <w:szCs w:val="20"/>
              </w:rPr>
              <w:t>Avg. Faithfulness</w:t>
            </w:r>
          </w:p>
        </w:tc>
        <w:tc>
          <w:tcPr>
            <w:tcW w:w="3280" w:type="dxa"/>
            <w:tcBorders>
              <w:top w:val="single" w:color="1E40AF" w:sz="2" w:space="0"/>
              <w:left w:val="single" w:color="1E40AF" w:sz="2" w:space="0"/>
              <w:bottom w:val="single" w:color="1E40AF" w:sz="2" w:space="0"/>
              <w:right w:val="single" w:color="1E40AF" w:sz="2" w:space="0"/>
            </w:tcBorders>
            <w:shd w:val="clear" w:color="auto" w:fill="1E40AF"/>
            <w:tcMar>
              <w:top w:w="80" w:type="dxa"/>
              <w:left w:w="120" w:type="dxa"/>
              <w:bottom w:w="80" w:type="dxa"/>
              <w:right w:w="120" w:type="dxa"/>
            </w:tcMar>
          </w:tcPr>
          <w:p w14:paraId="3A70B846">
            <w:r>
              <w:rPr>
                <w:rFonts w:ascii="Arial" w:hAnsi="Arial" w:eastAsia="Arial" w:cs="Arial"/>
                <w:b/>
                <w:bCs/>
                <w:color w:val="FFFFFF"/>
                <w:sz w:val="20"/>
                <w:szCs w:val="20"/>
              </w:rPr>
              <w:t>Avg. Hallucination Rate</w:t>
            </w:r>
          </w:p>
        </w:tc>
      </w:tr>
      <w:tr w14:paraId="2BA2929B">
        <w:tc>
          <w:tcPr>
            <w:tcW w:w="28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7FC5EB0">
            <w:r>
              <w:rPr>
                <w:rFonts w:ascii="Arial" w:hAnsi="Arial" w:eastAsia="Arial" w:cs="Arial"/>
                <w:b w:val="0"/>
                <w:bCs w:val="0"/>
                <w:color w:val="1E293B"/>
                <w:sz w:val="20"/>
                <w:szCs w:val="20"/>
              </w:rPr>
              <w:t>256 tokens</w:t>
            </w:r>
          </w:p>
        </w:tc>
        <w:tc>
          <w:tcPr>
            <w:tcW w:w="328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D9BE370">
            <w:r>
              <w:rPr>
                <w:rFonts w:ascii="Arial" w:hAnsi="Arial" w:eastAsia="Arial" w:cs="Arial"/>
                <w:b w:val="0"/>
                <w:bCs w:val="0"/>
                <w:color w:val="1E293B"/>
                <w:sz w:val="20"/>
                <w:szCs w:val="20"/>
              </w:rPr>
              <w:t>0.7019</w:t>
            </w:r>
          </w:p>
        </w:tc>
        <w:tc>
          <w:tcPr>
            <w:tcW w:w="328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20DF478">
            <w:r>
              <w:rPr>
                <w:rFonts w:ascii="Arial" w:hAnsi="Arial" w:eastAsia="Arial" w:cs="Arial"/>
                <w:b w:val="0"/>
                <w:bCs w:val="0"/>
                <w:color w:val="1E293B"/>
                <w:sz w:val="20"/>
                <w:szCs w:val="20"/>
              </w:rPr>
              <w:t>9.2%</w:t>
            </w:r>
          </w:p>
        </w:tc>
      </w:tr>
      <w:tr w14:paraId="1558D091">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0669F">
            <w:r>
              <w:rPr>
                <w:rFonts w:ascii="Arial" w:hAnsi="Arial" w:eastAsia="Arial" w:cs="Arial"/>
                <w:b w:val="0"/>
                <w:bCs w:val="0"/>
                <w:color w:val="1E293B"/>
                <w:sz w:val="20"/>
                <w:szCs w:val="20"/>
              </w:rPr>
              <w:t>512 tokens</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0B1907">
            <w:r>
              <w:rPr>
                <w:rFonts w:ascii="Arial" w:hAnsi="Arial" w:eastAsia="Arial" w:cs="Arial"/>
                <w:b w:val="0"/>
                <w:bCs w:val="0"/>
                <w:color w:val="1E293B"/>
                <w:sz w:val="20"/>
                <w:szCs w:val="20"/>
              </w:rPr>
              <w:t>0.7802</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FBB991">
            <w:r>
              <w:rPr>
                <w:rFonts w:ascii="Arial" w:hAnsi="Arial" w:eastAsia="Arial" w:cs="Arial"/>
                <w:b w:val="0"/>
                <w:bCs w:val="0"/>
                <w:color w:val="1E293B"/>
                <w:sz w:val="20"/>
                <w:szCs w:val="20"/>
              </w:rPr>
              <w:t>2.5%</w:t>
            </w:r>
          </w:p>
        </w:tc>
      </w:tr>
      <w:tr w14:paraId="724C22B5">
        <w:tc>
          <w:tcPr>
            <w:tcW w:w="2800" w:type="dxa"/>
            <w:tcBorders>
              <w:top w:val="single" w:color="CCCCCC" w:sz="0" w:space="0"/>
              <w:left w:val="single" w:color="CCCCCC" w:sz="0" w:space="0"/>
              <w:bottom w:val="single" w:color="CCCCCC" w:sz="0" w:space="0"/>
              <w:right w:val="single" w:color="CCCCCC" w:sz="0" w:space="0"/>
            </w:tcBorders>
            <w:shd w:val="clear" w:color="auto" w:fill="DCFCE7"/>
            <w:tcMar>
              <w:top w:w="80" w:type="dxa"/>
              <w:left w:w="120" w:type="dxa"/>
              <w:bottom w:w="80" w:type="dxa"/>
              <w:right w:w="120" w:type="dxa"/>
            </w:tcMar>
          </w:tcPr>
          <w:p w14:paraId="4301ABFD">
            <w:r>
              <w:rPr>
                <w:rFonts w:ascii="Arial" w:hAnsi="Arial" w:eastAsia="Arial" w:cs="Arial"/>
                <w:b/>
                <w:bCs/>
                <w:color w:val="166534"/>
                <w:sz w:val="20"/>
                <w:szCs w:val="20"/>
              </w:rPr>
              <w:t>1024 tokens</w:t>
            </w:r>
          </w:p>
        </w:tc>
        <w:tc>
          <w:tcPr>
            <w:tcW w:w="3280" w:type="dxa"/>
            <w:tcBorders>
              <w:top w:val="single" w:color="CCCCCC" w:sz="0" w:space="0"/>
              <w:left w:val="single" w:color="CCCCCC" w:sz="0" w:space="0"/>
              <w:bottom w:val="single" w:color="CCCCCC" w:sz="0" w:space="0"/>
              <w:right w:val="single" w:color="CCCCCC" w:sz="0" w:space="0"/>
            </w:tcBorders>
            <w:shd w:val="clear" w:color="auto" w:fill="DCFCE7"/>
            <w:tcMar>
              <w:top w:w="80" w:type="dxa"/>
              <w:left w:w="120" w:type="dxa"/>
              <w:bottom w:w="80" w:type="dxa"/>
              <w:right w:w="120" w:type="dxa"/>
            </w:tcMar>
          </w:tcPr>
          <w:p w14:paraId="798A2CAF">
            <w:r>
              <w:rPr>
                <w:rFonts w:ascii="Arial" w:hAnsi="Arial" w:eastAsia="Arial" w:cs="Arial"/>
                <w:b/>
                <w:bCs/>
                <w:color w:val="166534"/>
                <w:sz w:val="20"/>
                <w:szCs w:val="20"/>
              </w:rPr>
              <w:t>0.8105</w:t>
            </w:r>
          </w:p>
        </w:tc>
        <w:tc>
          <w:tcPr>
            <w:tcW w:w="3280" w:type="dxa"/>
            <w:tcBorders>
              <w:top w:val="single" w:color="CCCCCC" w:sz="0" w:space="0"/>
              <w:left w:val="single" w:color="CCCCCC" w:sz="0" w:space="0"/>
              <w:bottom w:val="single" w:color="CCCCCC" w:sz="0" w:space="0"/>
              <w:right w:val="single" w:color="CCCCCC" w:sz="0" w:space="0"/>
            </w:tcBorders>
            <w:shd w:val="clear" w:color="auto" w:fill="DCFCE7"/>
            <w:tcMar>
              <w:top w:w="80" w:type="dxa"/>
              <w:left w:w="120" w:type="dxa"/>
              <w:bottom w:w="80" w:type="dxa"/>
              <w:right w:w="120" w:type="dxa"/>
            </w:tcMar>
          </w:tcPr>
          <w:p w14:paraId="1779C2B2">
            <w:r>
              <w:rPr>
                <w:rFonts w:ascii="Arial" w:hAnsi="Arial" w:eastAsia="Arial" w:cs="Arial"/>
                <w:b/>
                <w:bCs/>
                <w:color w:val="166534"/>
                <w:sz w:val="20"/>
                <w:szCs w:val="20"/>
              </w:rPr>
              <w:t>2.5%</w:t>
            </w:r>
          </w:p>
        </w:tc>
      </w:tr>
    </w:tbl>
    <w:p w14:paraId="7B8B1103">
      <w:pPr>
        <w:spacing w:after="120"/>
      </w:pPr>
    </w:p>
    <w:p w14:paraId="5979364E">
      <w:pPr>
        <w:pStyle w:val="3"/>
        <w:spacing w:before="240" w:after="120"/>
      </w:pPr>
      <w:r>
        <w:rPr>
          <w:rFonts w:ascii="Arial" w:hAnsi="Arial" w:eastAsia="Arial" w:cs="Arial"/>
          <w:b/>
          <w:bCs/>
          <w:color w:val="1D4ED8"/>
          <w:sz w:val="26"/>
          <w:szCs w:val="26"/>
        </w:rPr>
        <w:t>5.4 Effect of Prompt Strategy</w:t>
      </w:r>
    </w:p>
    <w:p w14:paraId="66E9FC27">
      <w:pPr>
        <w:spacing w:after="160"/>
      </w:pPr>
      <w:r>
        <w:rPr>
          <w:rFonts w:ascii="Arial" w:hAnsi="Arial" w:eastAsia="Arial" w:cs="Arial"/>
          <w:color w:val="1E293B"/>
          <w:sz w:val="22"/>
          <w:szCs w:val="22"/>
        </w:rPr>
        <w:t>At matched chunk size and top-k, strict vs. chain-of-thought prompting never differs by more than 0.01 faithfulness score. This is a meaningful negative result — prompt strategy does not reliably reduce hallucination in this setup.</w:t>
      </w:r>
    </w:p>
    <w:p w14:paraId="40E0891C">
      <w:pPr>
        <w:spacing w:after="120"/>
      </w:pPr>
    </w:p>
    <w:p w14:paraId="0FD19A76">
      <w:pPr>
        <w:pStyle w:val="2"/>
        <w:pBdr>
          <w:bottom w:val="single" w:color="93C5FD" w:sz="4" w:space="4"/>
        </w:pBdr>
        <w:spacing w:before="360" w:after="180"/>
      </w:pPr>
      <w:r>
        <w:rPr>
          <w:rFonts w:ascii="Arial" w:hAnsi="Arial" w:eastAsia="Arial" w:cs="Arial"/>
          <w:b/>
          <w:bCs/>
          <w:color w:val="1E40AF"/>
          <w:sz w:val="32"/>
          <w:szCs w:val="32"/>
        </w:rPr>
        <w:t>6. Discussion</w:t>
      </w:r>
    </w:p>
    <w:p w14:paraId="4104B273">
      <w:pPr>
        <w:pStyle w:val="3"/>
        <w:spacing w:before="240" w:after="120"/>
      </w:pPr>
      <w:r>
        <w:rPr>
          <w:rFonts w:ascii="Arial" w:hAnsi="Arial" w:eastAsia="Arial" w:cs="Arial"/>
          <w:b/>
          <w:bCs/>
          <w:color w:val="1D4ED8"/>
          <w:sz w:val="26"/>
          <w:szCs w:val="26"/>
        </w:rPr>
        <w:t>6.1 Chunk Size as the Dominant Factor</w:t>
      </w:r>
    </w:p>
    <w:p w14:paraId="313C44C6">
      <w:pPr>
        <w:spacing w:after="160"/>
      </w:pPr>
      <w:r>
        <w:rPr>
          <w:rFonts w:ascii="Arial" w:hAnsi="Arial" w:eastAsia="Arial" w:cs="Arial"/>
          <w:color w:val="1E293B"/>
          <w:sz w:val="22"/>
          <w:szCs w:val="22"/>
        </w:rPr>
        <w:t>The ablation results show a clear monotonic relationship between chunk size and faithfulness: every 1024-token configuration outperforms every 512-token configuration, which outperforms every 256-token configuration — across all combinations of top-k and prompt strategy. The effect size is substantial: moving from chunk_size=256 to chunk_size=1024 improves mean faithfulness by 0.109 points and reduces mean hallucination rate from 9.2% to 2.5%.</w:t>
      </w:r>
    </w:p>
    <w:p w14:paraId="5DCA104D">
      <w:pPr>
        <w:spacing w:after="120"/>
      </w:pPr>
    </w:p>
    <w:p w14:paraId="0DB32E1D">
      <w:pPr>
        <w:spacing w:after="160"/>
      </w:pPr>
      <w:r>
        <w:rPr>
          <w:rFonts w:ascii="Arial" w:hAnsi="Arial" w:eastAsia="Arial" w:cs="Arial"/>
          <w:color w:val="1E293B"/>
          <w:sz w:val="22"/>
          <w:szCs w:val="22"/>
        </w:rPr>
        <w:t>This suggests that at chunk_size=256, individual chunks are too short to fully answer the questions, forcing Mistral to reason beyond the context and introducing unfaithful content. At chunk_size=1024, each retrieved chunk contains sufficient surrounding context for Mistral to generate a grounded answer without having to infer missing information.</w:t>
      </w:r>
    </w:p>
    <w:p w14:paraId="178440AA">
      <w:pPr>
        <w:spacing w:after="120"/>
      </w:pPr>
    </w:p>
    <w:p w14:paraId="2C67BCC3">
      <w:pPr>
        <w:pStyle w:val="3"/>
        <w:spacing w:before="240" w:after="120"/>
      </w:pPr>
      <w:r>
        <w:rPr>
          <w:rFonts w:ascii="Arial" w:hAnsi="Arial" w:eastAsia="Arial" w:cs="Arial"/>
          <w:b/>
          <w:bCs/>
          <w:color w:val="1D4ED8"/>
          <w:sz w:val="26"/>
          <w:szCs w:val="26"/>
        </w:rPr>
        <w:t>6.2 Prompt Strategy Has Negligible Effect</w:t>
      </w:r>
    </w:p>
    <w:p w14:paraId="76473F79">
      <w:pPr>
        <w:spacing w:after="160"/>
      </w:pPr>
      <w:r>
        <w:rPr>
          <w:rFonts w:ascii="Arial" w:hAnsi="Arial" w:eastAsia="Arial" w:cs="Arial"/>
          <w:color w:val="1E293B"/>
          <w:sz w:val="22"/>
          <w:szCs w:val="22"/>
        </w:rPr>
        <w:t>The near-zero effect of chain-of-thought prompting is a practically important negative result. The maximum faithfulness difference between strict and CoT at any matched chunk/top-k pair is 0.011. This suggests that for short, factual QA tasks with well-grounded retrieval, the LLM is already sufficiently constrained by the context that additional reasoning instructions add marginal value.</w:t>
      </w:r>
    </w:p>
    <w:p w14:paraId="54405A6D">
      <w:pPr>
        <w:spacing w:after="120"/>
      </w:pPr>
    </w:p>
    <w:p w14:paraId="1155FBD9">
      <w:pPr>
        <w:spacing w:after="160"/>
      </w:pPr>
      <w:r>
        <w:rPr>
          <w:rFonts w:ascii="Arial" w:hAnsi="Arial" w:eastAsia="Arial" w:cs="Arial"/>
          <w:color w:val="1E293B"/>
          <w:sz w:val="22"/>
          <w:szCs w:val="22"/>
        </w:rPr>
        <w:t>This contrasts with findings on open-ended tasks where CoT typically helps significantly. The implication for RAG system designers is clear: invest engineering effort in retrieval configuration rather than prompt engineering when faithfulness is the primary objective.</w:t>
      </w:r>
    </w:p>
    <w:p w14:paraId="5F9AB5F9">
      <w:pPr>
        <w:spacing w:after="120"/>
      </w:pPr>
    </w:p>
    <w:p w14:paraId="3D11F89D">
      <w:pPr>
        <w:pStyle w:val="3"/>
        <w:spacing w:before="240" w:after="120"/>
      </w:pPr>
      <w:r>
        <w:rPr>
          <w:rFonts w:ascii="Arial" w:hAnsi="Arial" w:eastAsia="Arial" w:cs="Arial"/>
          <w:b/>
          <w:bCs/>
          <w:color w:val="1D4ED8"/>
          <w:sz w:val="26"/>
          <w:szCs w:val="26"/>
        </w:rPr>
        <w:t>6.3 Low Baseline Hallucination Rates</w:t>
      </w:r>
    </w:p>
    <w:p w14:paraId="707A2484">
      <w:pPr>
        <w:spacing w:after="160"/>
      </w:pPr>
      <w:r>
        <w:rPr>
          <w:rFonts w:ascii="Arial" w:hAnsi="Arial" w:eastAsia="Arial" w:cs="Arial"/>
          <w:color w:val="1E293B"/>
          <w:sz w:val="22"/>
          <w:szCs w:val="22"/>
        </w:rPr>
        <w:t>The overall hallucination rates across all configurations are lower than expected, with five out of twelve configurations achieving 0%. This is likely a property of the SQuAD dataset: questions are short, factual, and directly answerable from a single passage. A more challenging dataset — with multi-hop questions, ambiguous answers, or domain-specific terminology — would likely show higher baseline hallucination rates and more differentiation across configurations.</w:t>
      </w:r>
    </w:p>
    <w:p w14:paraId="31B905B3">
      <w:pPr>
        <w:spacing w:after="120"/>
      </w:pPr>
    </w:p>
    <w:p w14:paraId="70FD5202">
      <w:pPr>
        <w:pStyle w:val="3"/>
        <w:spacing w:before="240" w:after="120"/>
      </w:pPr>
      <w:r>
        <w:rPr>
          <w:rFonts w:ascii="Arial" w:hAnsi="Arial" w:eastAsia="Arial" w:cs="Arial"/>
          <w:b/>
          <w:bCs/>
          <w:color w:val="1D4ED8"/>
          <w:sz w:val="26"/>
          <w:szCs w:val="26"/>
        </w:rPr>
        <w:t>6.4 Limitations</w:t>
      </w:r>
    </w:p>
    <w:p w14:paraId="4F275A2C">
      <w:pPr>
        <w:pStyle w:val="16"/>
        <w:numPr>
          <w:ilvl w:val="0"/>
          <w:numId w:val="2"/>
        </w:numPr>
        <w:spacing w:after="100"/>
      </w:pPr>
      <w:r>
        <w:rPr>
          <w:rFonts w:ascii="Arial" w:hAnsi="Arial" w:eastAsia="Arial" w:cs="Arial"/>
          <w:color w:val="1E293B"/>
          <w:sz w:val="22"/>
          <w:szCs w:val="22"/>
        </w:rPr>
        <w:t>The NLI faithfulness scorer itself has error. The DeBERTa model is not perfectly calibrated for all question types and may misclassify borderline cases.</w:t>
      </w:r>
    </w:p>
    <w:p w14:paraId="4F5C6BC8">
      <w:pPr>
        <w:pStyle w:val="16"/>
        <w:numPr>
          <w:ilvl w:val="0"/>
          <w:numId w:val="2"/>
        </w:numPr>
        <w:spacing w:after="100"/>
      </w:pPr>
      <w:r>
        <w:rPr>
          <w:rFonts w:ascii="Arial" w:hAnsi="Arial" w:eastAsia="Arial" w:cs="Arial"/>
          <w:color w:val="1E293B"/>
          <w:sz w:val="22"/>
          <w:szCs w:val="22"/>
        </w:rPr>
        <w:t>RAGAS answer relevancy scoring was not computed due to timeout issues with local parallel LLM evaluation. Faithfulness is the primary metric of interest for this study.</w:t>
      </w:r>
    </w:p>
    <w:p w14:paraId="69A26308">
      <w:pPr>
        <w:pStyle w:val="16"/>
        <w:numPr>
          <w:ilvl w:val="0"/>
          <w:numId w:val="2"/>
        </w:numPr>
        <w:spacing w:after="100"/>
      </w:pPr>
      <w:r>
        <w:rPr>
          <w:rFonts w:ascii="Arial" w:hAnsi="Arial" w:eastAsia="Arial" w:cs="Arial"/>
          <w:color w:val="1E293B"/>
          <w:sz w:val="22"/>
          <w:szCs w:val="22"/>
        </w:rPr>
        <w:t>The SQuAD dataset is less domain-specific than QASPER. Future work should evaluate on scientific or medical QA benchmarks.</w:t>
      </w:r>
    </w:p>
    <w:p w14:paraId="4D56474A">
      <w:pPr>
        <w:pStyle w:val="16"/>
        <w:numPr>
          <w:ilvl w:val="0"/>
          <w:numId w:val="2"/>
        </w:numPr>
        <w:spacing w:after="100"/>
      </w:pPr>
      <w:r>
        <w:rPr>
          <w:rFonts w:ascii="Arial" w:hAnsi="Arial" w:eastAsia="Arial" w:cs="Arial"/>
          <w:color w:val="1E293B"/>
          <w:sz w:val="22"/>
          <w:szCs w:val="22"/>
        </w:rPr>
        <w:t>Results are from a single run per configuration (no repeated trials). Variance estimates would require multiple runs.</w:t>
      </w:r>
    </w:p>
    <w:p w14:paraId="3C0BCC7A">
      <w:pPr>
        <w:spacing w:after="120"/>
      </w:pPr>
    </w:p>
    <w:p w14:paraId="4390CCF9">
      <w:pPr>
        <w:pStyle w:val="2"/>
        <w:pBdr>
          <w:bottom w:val="single" w:color="93C5FD" w:sz="4" w:space="4"/>
        </w:pBdr>
        <w:spacing w:before="360" w:after="180"/>
      </w:pPr>
      <w:r>
        <w:rPr>
          <w:rFonts w:ascii="Arial" w:hAnsi="Arial" w:eastAsia="Arial" w:cs="Arial"/>
          <w:b/>
          <w:bCs/>
          <w:color w:val="1E40AF"/>
          <w:sz w:val="32"/>
          <w:szCs w:val="32"/>
        </w:rPr>
        <w:t>7. Conclusion</w:t>
      </w:r>
    </w:p>
    <w:p w14:paraId="240FDB2F">
      <w:pPr>
        <w:spacing w:after="160"/>
      </w:pPr>
      <w:r>
        <w:rPr>
          <w:rFonts w:ascii="Arial" w:hAnsi="Arial" w:eastAsia="Arial" w:cs="Arial"/>
          <w:color w:val="1E293B"/>
          <w:sz w:val="22"/>
          <w:szCs w:val="22"/>
        </w:rPr>
        <w:t>We presented a complete RAG pipeline with integrated NLI-based hallucination detection, evaluated across 12 ablation configurations on SQuAD (360 total queries). Our results provide clear empirical evidence that chunk size is the dominant factor affecting hallucination rate — significantly more so than retrieval top-k or prompt strategy. The best configuration (chunk_size=1024, top_k=5, strict prompt) achieves a faithfulness score of 0.8274 and a hallucination rate of 3.3%, far exceeding the &lt;12% hallucination target. Five configurations achieve 0% hallucination rate, all at chunk_size ≥ 512.</w:t>
      </w:r>
    </w:p>
    <w:p w14:paraId="7671176D">
      <w:pPr>
        <w:spacing w:after="120"/>
      </w:pPr>
    </w:p>
    <w:p w14:paraId="777E18C5">
      <w:pPr>
        <w:spacing w:after="160"/>
      </w:pPr>
      <w:r>
        <w:rPr>
          <w:rFonts w:ascii="Arial" w:hAnsi="Arial" w:eastAsia="Arial" w:cs="Arial"/>
          <w:color w:val="1E293B"/>
          <w:sz w:val="22"/>
          <w:szCs w:val="22"/>
        </w:rPr>
        <w:t>The practical takeaway for RAG system designers: retrieval configuration — specifically chunk size — is a more reliable lever for reducing hallucinations than prompt engineering. This finding has direct implications for how production RAG systems should be optimized when faithfulness is the primary concern.</w:t>
      </w:r>
    </w:p>
    <w:p w14:paraId="22BF3322">
      <w:pPr>
        <w:spacing w:after="120"/>
      </w:pPr>
    </w:p>
    <w:p w14:paraId="2E896999">
      <w:pPr>
        <w:spacing w:after="160"/>
      </w:pPr>
      <w:r>
        <w:rPr>
          <w:rFonts w:ascii="Arial" w:hAnsi="Arial" w:eastAsia="Arial" w:cs="Arial"/>
          <w:color w:val="1E293B"/>
          <w:sz w:val="22"/>
          <w:szCs w:val="22"/>
        </w:rPr>
        <w:t>All code, results, and this report are available at: https://github.com/Saket-Maganti/rag-hallucination-detection</w:t>
      </w:r>
    </w:p>
    <w:p w14:paraId="5D1F96D0">
      <w:pPr>
        <w:spacing w:after="120"/>
      </w:pPr>
    </w:p>
    <w:p w14:paraId="05195440">
      <w:pPr>
        <w:pStyle w:val="2"/>
        <w:pBdr>
          <w:bottom w:val="single" w:color="93C5FD" w:sz="4" w:space="4"/>
        </w:pBdr>
        <w:spacing w:before="360" w:after="180"/>
      </w:pPr>
      <w:r>
        <w:rPr>
          <w:rFonts w:ascii="Arial" w:hAnsi="Arial" w:eastAsia="Arial" w:cs="Arial"/>
          <w:b/>
          <w:bCs/>
          <w:color w:val="1E40AF"/>
          <w:sz w:val="32"/>
          <w:szCs w:val="32"/>
        </w:rPr>
        <w:t>8. Technical Stack</w:t>
      </w:r>
    </w:p>
    <w:p w14:paraId="1C2839B4">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160"/>
        <w:gridCol w:w="4000"/>
      </w:tblGrid>
      <w:tr w14:paraId="29A5831A">
        <w:tc>
          <w:tcPr>
            <w:tcW w:w="2200" w:type="dxa"/>
            <w:tcBorders>
              <w:top w:val="single" w:color="1E40AF" w:sz="2" w:space="0"/>
              <w:left w:val="single" w:color="1E40AF" w:sz="2" w:space="0"/>
              <w:bottom w:val="single" w:color="1E40AF" w:sz="2" w:space="0"/>
              <w:right w:val="single" w:color="1E40AF" w:sz="2" w:space="0"/>
            </w:tcBorders>
            <w:shd w:val="clear" w:color="auto" w:fill="1E40AF"/>
            <w:tcMar>
              <w:top w:w="80" w:type="dxa"/>
              <w:left w:w="120" w:type="dxa"/>
              <w:bottom w:w="80" w:type="dxa"/>
              <w:right w:w="120" w:type="dxa"/>
            </w:tcMar>
          </w:tcPr>
          <w:p w14:paraId="49522280">
            <w:r>
              <w:rPr>
                <w:rFonts w:ascii="Arial" w:hAnsi="Arial" w:eastAsia="Arial" w:cs="Arial"/>
                <w:b/>
                <w:bCs/>
                <w:color w:val="FFFFFF"/>
                <w:sz w:val="20"/>
                <w:szCs w:val="20"/>
              </w:rPr>
              <w:t>Component</w:t>
            </w:r>
          </w:p>
        </w:tc>
        <w:tc>
          <w:tcPr>
            <w:tcW w:w="3160" w:type="dxa"/>
            <w:tcBorders>
              <w:top w:val="single" w:color="1E40AF" w:sz="2" w:space="0"/>
              <w:left w:val="single" w:color="1E40AF" w:sz="2" w:space="0"/>
              <w:bottom w:val="single" w:color="1E40AF" w:sz="2" w:space="0"/>
              <w:right w:val="single" w:color="1E40AF" w:sz="2" w:space="0"/>
            </w:tcBorders>
            <w:shd w:val="clear" w:color="auto" w:fill="1E40AF"/>
            <w:tcMar>
              <w:top w:w="80" w:type="dxa"/>
              <w:left w:w="120" w:type="dxa"/>
              <w:bottom w:w="80" w:type="dxa"/>
              <w:right w:w="120" w:type="dxa"/>
            </w:tcMar>
          </w:tcPr>
          <w:p w14:paraId="1349BBF1">
            <w:r>
              <w:rPr>
                <w:rFonts w:ascii="Arial" w:hAnsi="Arial" w:eastAsia="Arial" w:cs="Arial"/>
                <w:b/>
                <w:bCs/>
                <w:color w:val="FFFFFF"/>
                <w:sz w:val="20"/>
                <w:szCs w:val="20"/>
              </w:rPr>
              <w:t>Technology</w:t>
            </w:r>
          </w:p>
        </w:tc>
        <w:tc>
          <w:tcPr>
            <w:tcW w:w="4000" w:type="dxa"/>
            <w:tcBorders>
              <w:top w:val="single" w:color="1E40AF" w:sz="2" w:space="0"/>
              <w:left w:val="single" w:color="1E40AF" w:sz="2" w:space="0"/>
              <w:bottom w:val="single" w:color="1E40AF" w:sz="2" w:space="0"/>
              <w:right w:val="single" w:color="1E40AF" w:sz="2" w:space="0"/>
            </w:tcBorders>
            <w:shd w:val="clear" w:color="auto" w:fill="1E40AF"/>
            <w:tcMar>
              <w:top w:w="80" w:type="dxa"/>
              <w:left w:w="120" w:type="dxa"/>
              <w:bottom w:w="80" w:type="dxa"/>
              <w:right w:w="120" w:type="dxa"/>
            </w:tcMar>
          </w:tcPr>
          <w:p w14:paraId="3DB1420C">
            <w:r>
              <w:rPr>
                <w:rFonts w:ascii="Arial" w:hAnsi="Arial" w:eastAsia="Arial" w:cs="Arial"/>
                <w:b/>
                <w:bCs/>
                <w:color w:val="FFFFFF"/>
                <w:sz w:val="20"/>
                <w:szCs w:val="20"/>
              </w:rPr>
              <w:t>Role</w:t>
            </w:r>
          </w:p>
        </w:tc>
      </w:tr>
      <w:tr w14:paraId="322A1B3E">
        <w:tc>
          <w:tcPr>
            <w:tcW w:w="22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AF29E11">
            <w:r>
              <w:rPr>
                <w:rFonts w:ascii="Arial" w:hAnsi="Arial" w:eastAsia="Arial" w:cs="Arial"/>
                <w:b/>
                <w:bCs/>
                <w:color w:val="1E293B"/>
                <w:sz w:val="20"/>
                <w:szCs w:val="20"/>
              </w:rPr>
              <w:t>LLM</w:t>
            </w:r>
          </w:p>
        </w:tc>
        <w:tc>
          <w:tcPr>
            <w:tcW w:w="31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7472C00">
            <w:r>
              <w:rPr>
                <w:rFonts w:ascii="Arial" w:hAnsi="Arial" w:eastAsia="Arial" w:cs="Arial"/>
                <w:b w:val="0"/>
                <w:bCs w:val="0"/>
                <w:color w:val="1E293B"/>
                <w:sz w:val="20"/>
                <w:szCs w:val="20"/>
              </w:rPr>
              <w:t>Mistral-7B via Ollama</w:t>
            </w:r>
          </w:p>
        </w:tc>
        <w:tc>
          <w:tcPr>
            <w:tcW w:w="4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E3E7D81">
            <w:r>
              <w:rPr>
                <w:rFonts w:ascii="Arial" w:hAnsi="Arial" w:eastAsia="Arial" w:cs="Arial"/>
                <w:b w:val="0"/>
                <w:bCs w:val="0"/>
                <w:color w:val="1E293B"/>
                <w:sz w:val="20"/>
                <w:szCs w:val="20"/>
              </w:rPr>
              <w:t>Answer generation, runs locally on Apple Silicon MPS</w:t>
            </w:r>
          </w:p>
        </w:tc>
      </w:tr>
      <w:tr w14:paraId="31552BBF">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6043D4">
            <w:r>
              <w:rPr>
                <w:rFonts w:ascii="Arial" w:hAnsi="Arial" w:eastAsia="Arial" w:cs="Arial"/>
                <w:b/>
                <w:bCs/>
                <w:color w:val="1E293B"/>
                <w:sz w:val="20"/>
                <w:szCs w:val="20"/>
              </w:rPr>
              <w:t>Vector Store</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919A09">
            <w:r>
              <w:rPr>
                <w:rFonts w:ascii="Arial" w:hAnsi="Arial" w:eastAsia="Arial" w:cs="Arial"/>
                <w:b w:val="0"/>
                <w:bCs w:val="0"/>
                <w:color w:val="1E293B"/>
                <w:sz w:val="20"/>
                <w:szCs w:val="20"/>
              </w:rPr>
              <w:t>ChromaDB</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F7593A">
            <w:r>
              <w:rPr>
                <w:rFonts w:ascii="Arial" w:hAnsi="Arial" w:eastAsia="Arial" w:cs="Arial"/>
                <w:b w:val="0"/>
                <w:bCs w:val="0"/>
                <w:color w:val="1E293B"/>
                <w:sz w:val="20"/>
                <w:szCs w:val="20"/>
              </w:rPr>
              <w:t>Dense vector indexing and similarity search</w:t>
            </w:r>
          </w:p>
        </w:tc>
      </w:tr>
      <w:tr w14:paraId="4312518E">
        <w:tc>
          <w:tcPr>
            <w:tcW w:w="22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1EA0591">
            <w:r>
              <w:rPr>
                <w:rFonts w:ascii="Arial" w:hAnsi="Arial" w:eastAsia="Arial" w:cs="Arial"/>
                <w:b/>
                <w:bCs/>
                <w:color w:val="1E293B"/>
                <w:sz w:val="20"/>
                <w:szCs w:val="20"/>
              </w:rPr>
              <w:t>RAG Framework</w:t>
            </w:r>
          </w:p>
        </w:tc>
        <w:tc>
          <w:tcPr>
            <w:tcW w:w="31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27FD4C4">
            <w:r>
              <w:rPr>
                <w:rFonts w:ascii="Arial" w:hAnsi="Arial" w:eastAsia="Arial" w:cs="Arial"/>
                <w:b w:val="0"/>
                <w:bCs w:val="0"/>
                <w:color w:val="1E293B"/>
                <w:sz w:val="20"/>
                <w:szCs w:val="20"/>
              </w:rPr>
              <w:t>LangChain</w:t>
            </w:r>
          </w:p>
        </w:tc>
        <w:tc>
          <w:tcPr>
            <w:tcW w:w="4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609D987">
            <w:r>
              <w:rPr>
                <w:rFonts w:ascii="Arial" w:hAnsi="Arial" w:eastAsia="Arial" w:cs="Arial"/>
                <w:b w:val="0"/>
                <w:bCs w:val="0"/>
                <w:color w:val="1E293B"/>
                <w:sz w:val="20"/>
                <w:szCs w:val="20"/>
              </w:rPr>
              <w:t>Retrieval and generation orchestration</w:t>
            </w:r>
          </w:p>
        </w:tc>
      </w:tr>
      <w:tr w14:paraId="4DEFB8D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021F89">
            <w:r>
              <w:rPr>
                <w:rFonts w:ascii="Arial" w:hAnsi="Arial" w:eastAsia="Arial" w:cs="Arial"/>
                <w:b/>
                <w:bCs/>
                <w:color w:val="1E293B"/>
                <w:sz w:val="20"/>
                <w:szCs w:val="20"/>
              </w:rPr>
              <w:t>Embeddings</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3464BC">
            <w:r>
              <w:rPr>
                <w:rFonts w:ascii="Arial" w:hAnsi="Arial" w:eastAsia="Arial" w:cs="Arial"/>
                <w:b w:val="0"/>
                <w:bCs w:val="0"/>
                <w:color w:val="1E293B"/>
                <w:sz w:val="20"/>
                <w:szCs w:val="20"/>
              </w:rPr>
              <w:t>sentence-transformers/all-MiniLM-L6-v2</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4A7238">
            <w:r>
              <w:rPr>
                <w:rFonts w:ascii="Arial" w:hAnsi="Arial" w:eastAsia="Arial" w:cs="Arial"/>
                <w:b w:val="0"/>
                <w:bCs w:val="0"/>
                <w:color w:val="1E293B"/>
                <w:sz w:val="20"/>
                <w:szCs w:val="20"/>
              </w:rPr>
              <w:t>384-dim dense text embeddings</w:t>
            </w:r>
          </w:p>
        </w:tc>
      </w:tr>
      <w:tr w14:paraId="205D4E4A">
        <w:tc>
          <w:tcPr>
            <w:tcW w:w="22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F1D97C7">
            <w:r>
              <w:rPr>
                <w:rFonts w:ascii="Arial" w:hAnsi="Arial" w:eastAsia="Arial" w:cs="Arial"/>
                <w:b/>
                <w:bCs/>
                <w:color w:val="1E293B"/>
                <w:sz w:val="20"/>
                <w:szCs w:val="20"/>
              </w:rPr>
              <w:t>Halluc. Detection</w:t>
            </w:r>
          </w:p>
        </w:tc>
        <w:tc>
          <w:tcPr>
            <w:tcW w:w="31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C2E51A5">
            <w:r>
              <w:rPr>
                <w:rFonts w:ascii="Arial" w:hAnsi="Arial" w:eastAsia="Arial" w:cs="Arial"/>
                <w:b w:val="0"/>
                <w:bCs w:val="0"/>
                <w:color w:val="1E293B"/>
                <w:sz w:val="20"/>
                <w:szCs w:val="20"/>
              </w:rPr>
              <w:t>cross-encoder/nli-deberta-v3-base</w:t>
            </w:r>
          </w:p>
        </w:tc>
        <w:tc>
          <w:tcPr>
            <w:tcW w:w="4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FE09630">
            <w:r>
              <w:rPr>
                <w:rFonts w:ascii="Arial" w:hAnsi="Arial" w:eastAsia="Arial" w:cs="Arial"/>
                <w:b w:val="0"/>
                <w:bCs w:val="0"/>
                <w:color w:val="1E293B"/>
                <w:sz w:val="20"/>
                <w:szCs w:val="20"/>
              </w:rPr>
              <w:t>NLI entailment scoring per sentence</w:t>
            </w:r>
          </w:p>
        </w:tc>
      </w:tr>
      <w:tr w14:paraId="7725825D">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76A185">
            <w:r>
              <w:rPr>
                <w:rFonts w:ascii="Arial" w:hAnsi="Arial" w:eastAsia="Arial" w:cs="Arial"/>
                <w:b/>
                <w:bCs/>
                <w:color w:val="1E293B"/>
                <w:sz w:val="20"/>
                <w:szCs w:val="20"/>
              </w:rPr>
              <w:t>Dataset</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9BFE2C">
            <w:r>
              <w:rPr>
                <w:rFonts w:ascii="Arial" w:hAnsi="Arial" w:eastAsia="Arial" w:cs="Arial"/>
                <w:b w:val="0"/>
                <w:bCs w:val="0"/>
                <w:color w:val="1E293B"/>
                <w:sz w:val="20"/>
                <w:szCs w:val="20"/>
              </w:rPr>
              <w:t>Stanford SQuAD</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CF78AD">
            <w:r>
              <w:rPr>
                <w:rFonts w:ascii="Arial" w:hAnsi="Arial" w:eastAsia="Arial" w:cs="Arial"/>
                <w:b w:val="0"/>
                <w:bCs w:val="0"/>
                <w:color w:val="1E293B"/>
                <w:sz w:val="20"/>
                <w:szCs w:val="20"/>
              </w:rPr>
              <w:t>87K QA pairs over Wikipedia passages</w:t>
            </w:r>
          </w:p>
        </w:tc>
      </w:tr>
      <w:tr w14:paraId="1E10CBAF">
        <w:tc>
          <w:tcPr>
            <w:tcW w:w="22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647D942">
            <w:r>
              <w:rPr>
                <w:rFonts w:ascii="Arial" w:hAnsi="Arial" w:eastAsia="Arial" w:cs="Arial"/>
                <w:b/>
                <w:bCs/>
                <w:color w:val="1E293B"/>
                <w:sz w:val="20"/>
                <w:szCs w:val="20"/>
              </w:rPr>
              <w:t>Hardware</w:t>
            </w:r>
          </w:p>
        </w:tc>
        <w:tc>
          <w:tcPr>
            <w:tcW w:w="31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1F3C95C">
            <w:r>
              <w:rPr>
                <w:rFonts w:ascii="Arial" w:hAnsi="Arial" w:eastAsia="Arial" w:cs="Arial"/>
                <w:b w:val="0"/>
                <w:bCs w:val="0"/>
                <w:color w:val="1E293B"/>
                <w:sz w:val="20"/>
                <w:szCs w:val="20"/>
              </w:rPr>
              <w:t>Apple M4 (MPS)</w:t>
            </w:r>
          </w:p>
        </w:tc>
        <w:tc>
          <w:tcPr>
            <w:tcW w:w="400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B01C7E5">
            <w:r>
              <w:rPr>
                <w:rFonts w:ascii="Arial" w:hAnsi="Arial" w:eastAsia="Arial" w:cs="Arial"/>
                <w:b w:val="0"/>
                <w:bCs w:val="0"/>
                <w:color w:val="1E293B"/>
                <w:sz w:val="20"/>
                <w:szCs w:val="20"/>
              </w:rPr>
              <w:t>GPU-accelerated local inference, no cloud needed</w:t>
            </w:r>
          </w:p>
        </w:tc>
      </w:tr>
    </w:tbl>
    <w:p w14:paraId="423BC3F9">
      <w:pPr>
        <w:spacing w:after="120"/>
      </w:pPr>
    </w:p>
    <w:p w14:paraId="7C56D1D8">
      <w:pPr>
        <w:pStyle w:val="2"/>
        <w:pBdr>
          <w:bottom w:val="single" w:color="93C5FD" w:sz="4" w:space="4"/>
        </w:pBdr>
        <w:spacing w:before="360" w:after="180"/>
      </w:pPr>
      <w:r>
        <w:rPr>
          <w:rFonts w:ascii="Arial" w:hAnsi="Arial" w:eastAsia="Arial" w:cs="Arial"/>
          <w:b/>
          <w:bCs/>
          <w:color w:val="1E40AF"/>
          <w:sz w:val="32"/>
          <w:szCs w:val="32"/>
        </w:rPr>
        <w:t>9. References</w:t>
      </w:r>
    </w:p>
    <w:p w14:paraId="6C3DA1E0">
      <w:pPr>
        <w:spacing w:after="160"/>
      </w:pPr>
      <w:r>
        <w:rPr>
          <w:rFonts w:ascii="Arial" w:hAnsi="Arial" w:eastAsia="Arial" w:cs="Arial"/>
          <w:color w:val="1E293B"/>
          <w:sz w:val="22"/>
          <w:szCs w:val="22"/>
        </w:rPr>
        <w:t>Lewis, P., Perez, E., Piktus, A., et al. (2020). Retrieval-Augmented Generation for Knowledge-Intensive NLP Tasks. NeurIPS 2020. arXiv:2005.11401</w:t>
      </w:r>
    </w:p>
    <w:p w14:paraId="05221DC8">
      <w:pPr>
        <w:spacing w:after="160"/>
      </w:pPr>
      <w:r>
        <w:rPr>
          <w:rFonts w:ascii="Arial" w:hAnsi="Arial" w:eastAsia="Arial" w:cs="Arial"/>
          <w:color w:val="1E293B"/>
          <w:sz w:val="22"/>
          <w:szCs w:val="22"/>
        </w:rPr>
        <w:t>Rajpurkar, P., Zhang, J., Lopyrev, K., &amp; Liang, P. (2016). SQuAD: 100,000+ Questions for Machine Comprehension of Text. EMNLP 2016. arXiv:1606.05250</w:t>
      </w:r>
    </w:p>
    <w:p w14:paraId="06D66AE6">
      <w:pPr>
        <w:spacing w:after="160"/>
      </w:pPr>
      <w:r>
        <w:rPr>
          <w:rFonts w:ascii="Arial" w:hAnsi="Arial" w:eastAsia="Arial" w:cs="Arial"/>
          <w:color w:val="1E293B"/>
          <w:sz w:val="22"/>
          <w:szCs w:val="22"/>
        </w:rPr>
        <w:t>He, P., Gao, J., &amp; Chen, W. (2021). DeBERTaV3: Improving DeBERTa using ELECTRA-Style Pre-Training with Gradient-Disentangled Embedding Sharing. arXiv:2111.09543</w:t>
      </w:r>
    </w:p>
    <w:p w14:paraId="5136EA12">
      <w:pPr>
        <w:spacing w:after="160"/>
      </w:pPr>
      <w:r>
        <w:rPr>
          <w:rFonts w:ascii="Arial" w:hAnsi="Arial" w:eastAsia="Arial" w:cs="Arial"/>
          <w:color w:val="1E293B"/>
          <w:sz w:val="22"/>
          <w:szCs w:val="22"/>
        </w:rPr>
        <w:t>Jiang, A.Q., Sablayrolles, A., Mensch, A., et al. (2023). Mistral 7B. arXiv:2310.06825</w:t>
      </w:r>
    </w:p>
    <w:p w14:paraId="5FE59291">
      <w:pPr>
        <w:spacing w:after="160"/>
      </w:pPr>
      <w:r>
        <w:rPr>
          <w:rFonts w:ascii="Arial" w:hAnsi="Arial" w:eastAsia="Arial" w:cs="Arial"/>
          <w:color w:val="1E293B"/>
          <w:sz w:val="22"/>
          <w:szCs w:val="22"/>
        </w:rPr>
        <w:t>Es, S., James, J., Anke, L.E., &amp; Schockaert, S. (2023). RAGAS: Automated Evaluation of Retrieval Augmented Generation. arXiv:2309.15217</w:t>
      </w:r>
    </w:p>
    <w:p w14:paraId="5BA5BDC9">
      <w:pPr>
        <w:spacing w:after="160"/>
      </w:pPr>
      <w:r>
        <w:rPr>
          <w:rFonts w:ascii="Arial" w:hAnsi="Arial" w:eastAsia="Arial" w:cs="Arial"/>
          <w:color w:val="1E293B"/>
          <w:sz w:val="22"/>
          <w:szCs w:val="22"/>
        </w:rPr>
        <w:t>Dasigi, P., Lo, K., Beltagy, I., et al. (2021). A Dataset of Information-Seeking Questions and Answers Anchored in Research Papers. NAACL 2021. arXiv:2105.03011</w:t>
      </w: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9CBF6">
    <w:pPr>
      <w:pBdr>
        <w:top w:val="single" w:color="E2E8F0" w:sz="2" w:space="4"/>
      </w:pBdr>
      <w:jc w:val="center"/>
    </w:pPr>
    <w:r>
      <w:rPr>
        <w:rFonts w:ascii="Arial" w:hAnsi="Arial" w:eastAsia="Arial" w:cs="Arial"/>
        <w:color w:val="64748B"/>
        <w:sz w:val="18"/>
        <w:szCs w:val="18"/>
      </w:rPr>
      <w:t xml:space="preserve">Saket Maganti  ·  Page </w:t>
    </w:r>
    <w:r>
      <w:rPr>
        <w:rFonts w:ascii="Arial" w:hAnsi="Arial" w:eastAsia="Arial" w:cs="Arial"/>
        <w:color w:val="64748B"/>
        <w:sz w:val="18"/>
        <w:szCs w:val="18"/>
      </w:rPr>
      <w:fldChar w:fldCharType="begin"/>
    </w:r>
    <w:r>
      <w:rPr>
        <w:rFonts w:ascii="Arial" w:hAnsi="Arial" w:eastAsia="Arial" w:cs="Arial"/>
        <w:color w:val="64748B"/>
        <w:sz w:val="18"/>
        <w:szCs w:val="18"/>
      </w:rPr>
      <w:instrText xml:space="preserve">PAGE</w:instrText>
    </w:r>
    <w:r>
      <w:rPr>
        <w:rFonts w:ascii="Arial" w:hAnsi="Arial" w:eastAsia="Arial" w:cs="Arial"/>
        <w:color w:val="64748B"/>
        <w:sz w:val="18"/>
        <w:szCs w:val="18"/>
      </w:rPr>
      <w:fldChar w:fldCharType="separate"/>
    </w:r>
    <w:r>
      <w:rPr>
        <w:rFonts w:ascii="Arial" w:hAnsi="Arial" w:eastAsia="Arial" w:cs="Arial"/>
        <w:color w:val="64748B"/>
        <w:sz w:val="18"/>
        <w:szCs w:val="18"/>
      </w:rPr>
      <w:fldChar w:fldCharType="end"/>
    </w:r>
    <w:r>
      <w:rPr>
        <w:rFonts w:ascii="Arial" w:hAnsi="Arial" w:eastAsia="Arial" w:cs="Arial"/>
        <w:color w:val="64748B"/>
        <w:sz w:val="18"/>
        <w:szCs w:val="18"/>
      </w:rPr>
      <w:t xml:space="preserve"> of </w:t>
    </w:r>
    <w:r>
      <w:rPr>
        <w:rFonts w:ascii="Arial" w:hAnsi="Arial" w:eastAsia="Arial" w:cs="Arial"/>
        <w:color w:val="64748B"/>
        <w:sz w:val="18"/>
        <w:szCs w:val="18"/>
      </w:rPr>
      <w:fldChar w:fldCharType="begin"/>
    </w:r>
    <w:r>
      <w:rPr>
        <w:rFonts w:ascii="Arial" w:hAnsi="Arial" w:eastAsia="Arial" w:cs="Arial"/>
        <w:color w:val="64748B"/>
        <w:sz w:val="18"/>
        <w:szCs w:val="18"/>
      </w:rPr>
      <w:instrText xml:space="preserve">NUMPAGES</w:instrText>
    </w:r>
    <w:r>
      <w:rPr>
        <w:rFonts w:ascii="Arial" w:hAnsi="Arial" w:eastAsia="Arial" w:cs="Arial"/>
        <w:color w:val="64748B"/>
        <w:sz w:val="18"/>
        <w:szCs w:val="18"/>
      </w:rPr>
      <w:fldChar w:fldCharType="separate"/>
    </w:r>
    <w:r>
      <w:rPr>
        <w:rFonts w:ascii="Arial" w:hAnsi="Arial" w:eastAsia="Arial" w:cs="Arial"/>
        <w:color w:val="64748B"/>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BDAC0">
    <w:pPr>
      <w:pBdr>
        <w:bottom w:val="single" w:color="93C5FD" w:sz="4" w:space="4"/>
      </w:pBdr>
      <w:spacing w:after="120"/>
    </w:pPr>
    <w:r>
      <w:rPr>
        <w:rFonts w:ascii="Arial" w:hAnsi="Arial" w:eastAsia="Arial" w:cs="Arial"/>
        <w:color w:val="64748B"/>
        <w:sz w:val="18"/>
        <w:szCs w:val="18"/>
      </w:rPr>
      <w:t>RAG with Hallucination Detection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765EE6"/>
    <w:multiLevelType w:val="singleLevel"/>
    <w:tmpl w:val="DB765EE6"/>
    <w:lvl w:ilvl="0" w:tentative="0">
      <w:start w:val="1"/>
      <w:numFmt w:val="decimal"/>
      <w:lvlText w:val="%1."/>
      <w:lvlJc w:val="left"/>
      <w:pPr>
        <w:ind w:left="720" w:hanging="360"/>
      </w:pPr>
    </w:lvl>
  </w:abstractNum>
  <w:abstractNum w:abstractNumId="1">
    <w:nsid w:val="3F3A0F0E"/>
    <w:multiLevelType w:val="singleLevel"/>
    <w:tmpl w:val="3F3A0F0E"/>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displayBackgroundShape w:val="1"/>
  <w:documentProtection w:enforcement="0"/>
  <w:compat>
    <w:compatSetting w:name="compatibilityMode" w:uri="http://schemas.microsoft.com/office/word" w:val="15"/>
  </w:compat>
  <w:rsids>
    <w:rsidRoot w:val="00000000"/>
    <w:rsid w:val="CFDFC5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E293B"/>
      <w:sz w:val="22"/>
      <w:szCs w:val="22"/>
    </w:rPr>
  </w:style>
  <w:style w:type="paragraph" w:styleId="2">
    <w:name w:val="heading 1"/>
    <w:next w:val="1"/>
    <w:qFormat/>
    <w:uiPriority w:val="0"/>
    <w:pPr>
      <w:pBdr>
        <w:bottom w:val="single" w:color="93C5FD" w:sz="4" w:space="4"/>
      </w:pBdr>
      <w:spacing w:before="360" w:after="180"/>
      <w:outlineLvl w:val="0"/>
    </w:pPr>
    <w:rPr>
      <w:rFonts w:ascii="Arial" w:hAnsi="Arial" w:eastAsia="Arial" w:cs="Arial"/>
      <w:b/>
      <w:bCs/>
      <w:color w:val="1E40AF"/>
      <w:sz w:val="32"/>
      <w:szCs w:val="32"/>
    </w:rPr>
  </w:style>
  <w:style w:type="paragraph" w:styleId="3">
    <w:name w:val="heading 2"/>
    <w:next w:val="1"/>
    <w:qFormat/>
    <w:uiPriority w:val="0"/>
    <w:pPr>
      <w:spacing w:before="240" w:after="120"/>
      <w:outlineLvl w:val="1"/>
    </w:pPr>
    <w:rPr>
      <w:rFonts w:ascii="Arial" w:hAnsi="Arial" w:eastAsia="Arial" w:cs="Arial"/>
      <w:b/>
      <w:bCs/>
      <w:color w:val="1D4ED8"/>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1E293B"/>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1E293B"/>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1E293B"/>
      <w:sz w:val="56"/>
      <w:szCs w:val="56"/>
    </w:rPr>
  </w:style>
  <w:style w:type="paragraph" w:styleId="16">
    <w:name w:val="List Paragraph"/>
    <w:qFormat/>
    <w:uiPriority w:val="0"/>
    <w:rPr>
      <w:rFonts w:ascii="Arial" w:hAnsi="Arial" w:eastAsia="Arial" w:cs="Arial"/>
      <w:color w:val="1E293B"/>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0</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Saket Maganti</cp:lastModifiedBy>
  <dcterms:modified xsi:type="dcterms:W3CDTF">2026-03-23T12:29:08Z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14BB42093CE772AEBCE4C069E693C1C7_42</vt:lpwstr>
  </property>
</Properties>
</file>