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E40AF"/>
          <w:sz w:val="52"/>
          <w:szCs w:val="52"/>
        </w:rPr>
        <w:t xml:space="preserve">RAG System with Hallucination Detection</w:t>
      </w:r>
    </w:p>
    <w:p>
      <w:pPr>
        <w:spacing w:after="120"/>
        <w:jc w:val="center"/>
      </w:pPr>
      <w:r>
        <w:rPr>
          <w:rFonts w:ascii="Arial" w:cs="Arial" w:eastAsia="Arial" w:hAnsi="Arial"/>
          <w:b/>
          <w:bCs/>
          <w:color w:val="1D4ED8"/>
          <w:sz w:val="40"/>
          <w:szCs w:val="40"/>
        </w:rPr>
        <w:t xml:space="preserve">for Domain-Specific Q&amp;A</w:t>
      </w:r>
    </w:p>
    <w:p>
      <w:pPr>
        <w:spacing w:after="120"/>
        <w:jc w:val="center"/>
      </w:pPr>
      <w:r>
        <w:rPr>
          <w:rFonts w:ascii="Arial" w:cs="Arial" w:eastAsia="Arial" w:hAnsi="Arial"/>
          <w:i/>
          <w:iCs/>
          <w:color w:val="64748B"/>
          <w:sz w:val="22"/>
          <w:szCs w:val="22"/>
        </w:rPr>
        <w:t xml:space="preserve">NLP  ·  LLMs  ·  Information Retrieval  ·  Evaluation Methodology</w:t>
      </w:r>
    </w:p>
    <w:p>
      <w:pPr>
        <w:spacing w:after="80"/>
        <w:jc w:val="center"/>
      </w:pPr>
      <w:r>
        <w:rPr>
          <w:rFonts w:ascii="Arial" w:cs="Arial" w:eastAsia="Arial" w:hAnsi="Arial"/>
          <w:b/>
          <w:bCs/>
          <w:color w:val="1E293B"/>
          <w:sz w:val="26"/>
          <w:szCs w:val="26"/>
        </w:rPr>
        <w:t xml:space="preserve">Saket Maganti</w:t>
      </w:r>
    </w:p>
    <w:p>
      <w:pPr>
        <w:spacing w:after="80"/>
        <w:jc w:val="center"/>
      </w:pPr>
      <w:r>
        <w:rPr>
          <w:rFonts w:ascii="Arial" w:cs="Arial" w:eastAsia="Arial" w:hAnsi="Arial"/>
          <w:color w:val="64748B"/>
          <w:sz w:val="20"/>
          <w:szCs w:val="20"/>
        </w:rPr>
        <w:t xml:space="preserve">github.com/Saket-Maganti/rag-hallucination-detection</w:t>
      </w:r>
    </w:p>
    <w:p>
      <w:pPr>
        <w:pBdr>
          <w:bottom w:val="single" w:color="93C5FD" w:sz="6" w:space="8"/>
        </w:pBdr>
        <w:spacing w:after="600"/>
        <w:jc w:val="center"/>
      </w:pPr>
      <w:r>
        <w:rPr>
          <w:rFonts w:ascii="Arial" w:cs="Arial" w:eastAsia="Arial" w:hAnsi="Arial"/>
          <w:color w:val="64748B"/>
          <w:sz w:val="20"/>
          <w:szCs w:val="20"/>
        </w:rPr>
        <w:t xml:space="preserve">2026  ·  720 Queries  ·  2 Datasets  ·  24 Configurations</w:t>
      </w:r>
    </w:p>
    <w:p>
      <w:pPr>
        <w:spacing w:after="120"/>
      </w:pPr>
      <w:r>
        <w:t xml:space="preserve"/>
      </w:r>
    </w:p>
    <w:p>
      <w:pPr>
        <w:pBdr>
          <w:top w:val="single" w:color="1E40AF" w:sz="6"/>
          <w:bottom w:val="single" w:color="1E40AF" w:sz="6"/>
          <w:left w:val="single" w:color="1E40AF" w:sz="16"/>
          <w:right w:val="single" w:color="1E40AF" w:sz="6"/>
        </w:pBdr>
        <w:shd w:fill="DBEAFE" w:val="clear"/>
        <w:spacing w:after="80"/>
      </w:pPr>
      <w:r>
        <w:rPr>
          <w:rFonts w:ascii="Arial" w:cs="Arial" w:eastAsia="Arial" w:hAnsi="Arial"/>
          <w:b/>
          <w:bCs/>
          <w:i/>
          <w:iCs/>
          <w:color w:val="1E40AF"/>
          <w:sz w:val="24"/>
          <w:szCs w:val="24"/>
        </w:rPr>
        <w:t xml:space="preserve">"Does retrieval quality or prompt design have a greater effect on LLM hallucination rate in domain-specific Q&amp;A?"</w:t>
      </w:r>
    </w:p>
    <w:p>
      <w:pPr>
        <w:spacing w:after="120"/>
      </w:pPr>
      <w:r>
        <w:t xml:space="preserve"/>
      </w:r>
    </w:p>
    <w:p>
      <w:pPr>
        <w:pBdr>
          <w:top w:val="single" w:color="166534" w:sz="4"/>
          <w:bottom w:val="single" w:color="166534" w:sz="4"/>
          <w:left w:val="single" w:color="166534" w:sz="12"/>
          <w:right w:val="single" w:color="166534" w:sz="4"/>
        </w:pBdr>
        <w:shd w:fill="DCFCE7" w:val="clear"/>
        <w:spacing w:after="80"/>
      </w:pPr>
      <w:r>
        <w:rPr>
          <w:rFonts w:ascii="Arial" w:cs="Arial" w:eastAsia="Arial" w:hAnsi="Arial"/>
          <w:b/>
          <w:bCs/>
          <w:color w:val="166534"/>
          <w:sz w:val="22"/>
          <w:szCs w:val="22"/>
        </w:rPr>
        <w:t xml:space="preserve">Answer: Retrieval configuration — specifically chunk size — accounts for 90.1% of faithfulness variance on SQuAD and 61.2% on PubMedQA. Prompt strategy accounts for only 0.2% and 12.7% respectively.</w:t>
      </w:r>
    </w:p>
    <w:p>
      <w:pPr>
        <w:spacing w:after="400"/>
      </w:pPr>
      <w:r>
        <w:t xml:space="preserve"/>
      </w:r>
    </w:p>
    <w:p>
      <w:pPr>
        <w:pStyle w:val="Heading1"/>
        <w:pBdr>
          <w:bottom w:val="single" w:color="93C5FD" w:sz="4" w:space="4"/>
        </w:pBdr>
        <w:spacing w:after="180" w:before="360"/>
      </w:pPr>
      <w:r>
        <w:rPr>
          <w:rFonts w:ascii="Arial" w:cs="Arial" w:eastAsia="Arial" w:hAnsi="Arial"/>
          <w:b/>
          <w:bCs/>
          <w:color w:val="1E40AF"/>
          <w:sz w:val="32"/>
          <w:szCs w:val="32"/>
        </w:rPr>
        <w:t xml:space="preserve">1. Abstract</w:t>
      </w:r>
    </w:p>
    <w:p>
      <w:pPr>
        <w:spacing w:after="160"/>
      </w:pPr>
      <w:r>
        <w:rPr>
          <w:rFonts w:ascii="Arial" w:cs="Arial" w:eastAsia="Arial" w:hAnsi="Arial"/>
          <w:color w:val="1E293B"/>
          <w:sz w:val="22"/>
          <w:szCs w:val="22"/>
        </w:rPr>
        <w:t xml:space="preserve">This project presents a Retrieval-Augmented Generation (RAG) pipeline enhanced with a sentence-level NLI-based hallucination detector, evaluated across two benchmarks spanning different domain difficulties: Stanford SQuAD (factual QA over Wikipedia) and PubMedQA (biomedical QA over research abstracts). Through a systematic factorial ablation study — 12 configurations per dataset, 30 questions each, 720 total queries — we empirically answer the question of whether retrieval quality or prompt design has a greater effect on hallucination rate.</w:t>
      </w:r>
    </w:p>
    <w:p>
      <w:pPr>
        <w:spacing w:after="120"/>
      </w:pPr>
      <w:r>
        <w:t xml:space="preserve"/>
      </w:r>
    </w:p>
    <w:p>
      <w:pPr>
        <w:spacing w:after="160"/>
      </w:pPr>
      <w:r>
        <w:rPr>
          <w:rFonts w:ascii="Arial" w:cs="Arial" w:eastAsia="Arial" w:hAnsi="Arial"/>
          <w:color w:val="1E293B"/>
          <w:sz w:val="22"/>
          <w:szCs w:val="22"/>
        </w:rPr>
        <w:t xml:space="preserve">Variance decomposition reveals that chunk size accounts for 90.1% of faithfulness variance on SQuAD and 61.2% on PubMedQA, while prompt strategy accounts for only 0.2% and 12.7% respectively. The best SQuAD configuration (chunk=1024, k=5, strict) achieves faithfulness 0.8274 and hallucination rate 3.3%. The best PubMedQA configuration (chunk=512, k=3, CoT) achieves faithfulness 0.6196 and hallucination rate 13.3%. Critically, the optimal chunk size shifts between datasets — suggesting retrieval optima are domain-dependent.</w:t>
      </w:r>
    </w:p>
    <w:p>
      <w:pPr>
        <w:spacing w:after="120"/>
      </w:pPr>
      <w:r>
        <w:t xml:space="preserve"/>
      </w:r>
    </w:p>
    <w:p>
      <w:pPr>
        <w:pStyle w:val="Heading1"/>
        <w:pBdr>
          <w:bottom w:val="single" w:color="93C5FD" w:sz="4" w:space="4"/>
        </w:pBdr>
        <w:spacing w:after="180" w:before="360"/>
      </w:pPr>
      <w:r>
        <w:rPr>
          <w:rFonts w:ascii="Arial" w:cs="Arial" w:eastAsia="Arial" w:hAnsi="Arial"/>
          <w:b/>
          <w:bCs/>
          <w:color w:val="1E40AF"/>
          <w:sz w:val="32"/>
          <w:szCs w:val="32"/>
        </w:rPr>
        <w:t xml:space="preserve">2. Introduction</w:t>
      </w:r>
    </w:p>
    <w:p>
      <w:pPr>
        <w:spacing w:after="160"/>
      </w:pPr>
      <w:r>
        <w:rPr>
          <w:rFonts w:ascii="Arial" w:cs="Arial" w:eastAsia="Arial" w:hAnsi="Arial"/>
          <w:color w:val="1E293B"/>
          <w:sz w:val="22"/>
          <w:szCs w:val="22"/>
        </w:rPr>
        <w:t xml:space="preserve">Large language models (LLMs) deployed for question answering frequently hallucinate — generating fluent but factually unsupported content. Retrieval-Augmented Generation (RAG) mitigates this by conditioning generation on retrieved documents, but hallucinations persist even when relevant context is available.</w:t>
      </w:r>
    </w:p>
    <w:p>
      <w:pPr>
        <w:spacing w:after="120"/>
      </w:pPr>
      <w:r>
        <w:t xml:space="preserve"/>
      </w:r>
    </w:p>
    <w:p>
      <w:pPr>
        <w:spacing w:after="160"/>
      </w:pPr>
      <w:r>
        <w:rPr>
          <w:rFonts w:ascii="Arial" w:cs="Arial" w:eastAsia="Arial" w:hAnsi="Arial"/>
          <w:color w:val="1E293B"/>
          <w:sz w:val="22"/>
          <w:szCs w:val="22"/>
        </w:rPr>
        <w:t xml:space="preserve">Two competing hypotheses explain residual hallucination in RAG. The retrieval hypothesis holds that hallucination arises when retrieved context is insufficient — too short, too fragmented, or semantically misaligned — forcing the model to fill gaps from memory. The generation hypothesis holds that hallucination arises from how the model is instructed to use context: a poorly designed prompt fails to suppress confabulation. Distinguishing these has major practical implications for RAG system design.</w:t>
      </w:r>
    </w:p>
    <w:p>
      <w:pPr>
        <w:spacing w:after="120"/>
      </w:pPr>
      <w:r>
        <w:t xml:space="preserve"/>
      </w:r>
    </w:p>
    <w:p>
      <w:pPr>
        <w:spacing w:after="160"/>
      </w:pPr>
      <w:r>
        <w:rPr>
          <w:rFonts w:ascii="Arial" w:cs="Arial" w:eastAsia="Arial" w:hAnsi="Arial"/>
          <w:color w:val="1E293B"/>
          <w:sz w:val="22"/>
          <w:szCs w:val="22"/>
        </w:rPr>
        <w:t xml:space="preserve">This project makes four contributions:</w:t>
      </w:r>
    </w:p>
    <w:p>
      <w:pPr>
        <w:pStyle w:val="ListParagraph"/>
        <w:numPr>
          <w:ilvl w:val="0"/>
          <w:numId w:val="2"/>
        </w:numPr>
        <w:spacing w:after="100"/>
      </w:pPr>
      <w:r>
        <w:rPr>
          <w:rFonts w:ascii="Arial" w:cs="Arial" w:eastAsia="Arial" w:hAnsi="Arial"/>
          <w:color w:val="1E293B"/>
          <w:sz w:val="22"/>
          <w:szCs w:val="22"/>
        </w:rPr>
        <w:t xml:space="preserve">A controlled experimental framework isolating retrieval configuration (chunk size, top-k) from prompt strategy (strict vs. chain-of-thought) as independent variables.</w:t>
      </w:r>
    </w:p>
    <w:p>
      <w:pPr>
        <w:pStyle w:val="ListParagraph"/>
        <w:numPr>
          <w:ilvl w:val="0"/>
          <w:numId w:val="2"/>
        </w:numPr>
        <w:spacing w:after="100"/>
      </w:pPr>
      <w:r>
        <w:rPr>
          <w:rFonts w:ascii="Arial" w:cs="Arial" w:eastAsia="Arial" w:hAnsi="Arial"/>
          <w:color w:val="1E293B"/>
          <w:sz w:val="22"/>
          <w:szCs w:val="22"/>
        </w:rPr>
        <w:t xml:space="preserve">Cross-domain empirical results on SQuAD and PubMedQA showing chunk size accounts for 90.1% and 61.2% of faithfulness variance respectively.</w:t>
      </w:r>
    </w:p>
    <w:p>
      <w:pPr>
        <w:pStyle w:val="ListParagraph"/>
        <w:numPr>
          <w:ilvl w:val="0"/>
          <w:numId w:val="2"/>
        </w:numPr>
        <w:spacing w:after="100"/>
      </w:pPr>
      <w:r>
        <w:rPr>
          <w:rFonts w:ascii="Arial" w:cs="Arial" w:eastAsia="Arial" w:hAnsi="Arial"/>
          <w:color w:val="1E293B"/>
          <w:sz w:val="22"/>
          <w:szCs w:val="22"/>
        </w:rPr>
        <w:t xml:space="preserve">A lightweight, sentence-level NLI hallucination detector requiring no fine-tuning, running fully locally on Apple Silicon at ~3.4s per query.</w:t>
      </w:r>
    </w:p>
    <w:p>
      <w:pPr>
        <w:pStyle w:val="ListParagraph"/>
        <w:numPr>
          <w:ilvl w:val="0"/>
          <w:numId w:val="2"/>
        </w:numPr>
        <w:spacing w:after="100"/>
      </w:pPr>
      <w:r>
        <w:rPr>
          <w:rFonts w:ascii="Arial" w:cs="Arial" w:eastAsia="Arial" w:hAnsi="Arial"/>
          <w:color w:val="1E293B"/>
          <w:sz w:val="22"/>
          <w:szCs w:val="22"/>
        </w:rPr>
        <w:t xml:space="preserve">A domain-dependence finding: the optimal chunk size shifts from 1024 (general knowledge) to 512 (biomedical), showing retrieval optima are not universally transferable.</w:t>
      </w:r>
    </w:p>
    <w:p>
      <w:pPr>
        <w:spacing w:after="120"/>
      </w:pPr>
      <w:r>
        <w:t xml:space="preserve"/>
      </w:r>
    </w:p>
    <w:p>
      <w:pPr>
        <w:pStyle w:val="Heading1"/>
        <w:pBdr>
          <w:bottom w:val="single" w:color="93C5FD" w:sz="4" w:space="4"/>
        </w:pBdr>
        <w:spacing w:after="180" w:before="360"/>
      </w:pPr>
      <w:r>
        <w:rPr>
          <w:rFonts w:ascii="Arial" w:cs="Arial" w:eastAsia="Arial" w:hAnsi="Arial"/>
          <w:b/>
          <w:bCs/>
          <w:color w:val="1E40AF"/>
          <w:sz w:val="32"/>
          <w:szCs w:val="32"/>
        </w:rPr>
        <w:t xml:space="preserve">3. Background &amp; Related Work</w:t>
      </w:r>
    </w:p>
    <w:p>
      <w:pPr>
        <w:pStyle w:val="Heading2"/>
        <w:spacing w:after="120" w:before="240"/>
      </w:pPr>
      <w:r>
        <w:rPr>
          <w:rFonts w:ascii="Arial" w:cs="Arial" w:eastAsia="Arial" w:hAnsi="Arial"/>
          <w:b/>
          <w:bCs/>
          <w:color w:val="1D4ED8"/>
          <w:sz w:val="26"/>
          <w:szCs w:val="26"/>
        </w:rPr>
        <w:t xml:space="preserve">3.1 Retrieval-Augmented Generation</w:t>
      </w:r>
    </w:p>
    <w:p>
      <w:pPr>
        <w:spacing w:after="160"/>
      </w:pPr>
      <w:r>
        <w:rPr>
          <w:rFonts w:ascii="Arial" w:cs="Arial" w:eastAsia="Arial" w:hAnsi="Arial"/>
          <w:color w:val="1E293B"/>
          <w:sz w:val="22"/>
          <w:szCs w:val="22"/>
        </w:rPr>
        <w:t xml:space="preserve">RAG (Lewis et al., 2020) augments LLM generation with a retrieval step: given a query, a dense retriever fetches relevant document chunks, and these are included in the LLM prompt as context. This reduces hallucination without requiring model retraining, making it practical for domain-specific deployment.</w:t>
      </w:r>
    </w:p>
    <w:p>
      <w:pPr>
        <w:spacing w:after="120"/>
      </w:pPr>
      <w:r>
        <w:t xml:space="preserve"/>
      </w:r>
    </w:p>
    <w:p>
      <w:pPr>
        <w:pStyle w:val="Heading2"/>
        <w:spacing w:after="120" w:before="240"/>
      </w:pPr>
      <w:r>
        <w:rPr>
          <w:rFonts w:ascii="Arial" w:cs="Arial" w:eastAsia="Arial" w:hAnsi="Arial"/>
          <w:b/>
          <w:bCs/>
          <w:color w:val="1D4ED8"/>
          <w:sz w:val="26"/>
          <w:szCs w:val="26"/>
        </w:rPr>
        <w:t xml:space="preserve">3.2 Hallucination in LLMs</w:t>
      </w:r>
    </w:p>
    <w:p>
      <w:pPr>
        <w:spacing w:after="160"/>
      </w:pPr>
      <w:r>
        <w:rPr>
          <w:rFonts w:ascii="Arial" w:cs="Arial" w:eastAsia="Arial" w:hAnsi="Arial"/>
          <w:color w:val="1E293B"/>
          <w:sz w:val="22"/>
          <w:szCs w:val="22"/>
        </w:rPr>
        <w:t xml:space="preserve">Hallucination occurs when a model generates content inconsistent with its source material (faithfulness hallucination) or with world knowledge (factuality hallucination). In RAG systems, faithfulness hallucination — where the model ignores or contradicts retrieved context — is the primary concern. Prior work has shown retrieval quality as a key factor but has not systematically compared it to prompting in a controlled factorial design.</w:t>
      </w:r>
    </w:p>
    <w:p>
      <w:pPr>
        <w:spacing w:after="120"/>
      </w:pPr>
      <w:r>
        <w:t xml:space="preserve"/>
      </w:r>
    </w:p>
    <w:p>
      <w:pPr>
        <w:pStyle w:val="Heading2"/>
        <w:spacing w:after="120" w:before="240"/>
      </w:pPr>
      <w:r>
        <w:rPr>
          <w:rFonts w:ascii="Arial" w:cs="Arial" w:eastAsia="Arial" w:hAnsi="Arial"/>
          <w:b/>
          <w:bCs/>
          <w:color w:val="1D4ED8"/>
          <w:sz w:val="26"/>
          <w:szCs w:val="26"/>
        </w:rPr>
        <w:t xml:space="preserve">3.3 NLI for Faithfulness Evaluation</w:t>
      </w:r>
    </w:p>
    <w:p>
      <w:pPr>
        <w:spacing w:after="160"/>
      </w:pPr>
      <w:r>
        <w:rPr>
          <w:rFonts w:ascii="Arial" w:cs="Arial" w:eastAsia="Arial" w:hAnsi="Arial"/>
          <w:color w:val="1E293B"/>
          <w:sz w:val="22"/>
          <w:szCs w:val="22"/>
        </w:rPr>
        <w:t xml:space="preserve">Natural Language Inference classifies whether a hypothesis is entailed by, neutral to, or contradicted by a premise. We use this to score answer faithfulness at the sentence level: retrieved context is the premise, each generated sentence is the hypothesis. Averaging entailment scores gives a faithfulness score in [0, 1]. This approach is faster and more local than LLM-as-judge evaluation (e.g. RAGAS), and more granular than document-level scoring.</w:t>
      </w:r>
    </w:p>
    <w:p>
      <w:pPr>
        <w:spacing w:after="120"/>
      </w:pPr>
      <w:r>
        <w:t xml:space="preserve"/>
      </w:r>
    </w:p>
    <w:p>
      <w:pPr>
        <w:pStyle w:val="Heading2"/>
        <w:spacing w:after="120" w:before="240"/>
      </w:pPr>
      <w:r>
        <w:rPr>
          <w:rFonts w:ascii="Arial" w:cs="Arial" w:eastAsia="Arial" w:hAnsi="Arial"/>
          <w:b/>
          <w:bCs/>
          <w:color w:val="1D4ED8"/>
          <w:sz w:val="26"/>
          <w:szCs w:val="26"/>
        </w:rPr>
        <w:t xml:space="preserve">3.4 Chain-of-Thought Prompting</w:t>
      </w:r>
    </w:p>
    <w:p>
      <w:pPr>
        <w:spacing w:after="160"/>
      </w:pPr>
      <w:r>
        <w:rPr>
          <w:rFonts w:ascii="Arial" w:cs="Arial" w:eastAsia="Arial" w:hAnsi="Arial"/>
          <w:color w:val="1E293B"/>
          <w:sz w:val="22"/>
          <w:szCs w:val="22"/>
        </w:rPr>
        <w:t xml:space="preserve">Chain-of-thought prompting (Wei et al., 2022) improves multi-step reasoning by eliciting intermediate steps. However, its effect on RAG faithfulness — as opposed to task accuracy — has not been studied systematically against retrieval configuration. Our negative finding on SQuAD (CoT provides at most 0.011 faithfulness improvement) and positive finding on PubMedQA (CoT helps on complex biomedical reasoning) contributes to this literature.</w:t>
      </w:r>
    </w:p>
    <w:p>
      <w:pPr>
        <w:spacing w:after="120"/>
      </w:pPr>
      <w:r>
        <w:t xml:space="preserve"/>
      </w:r>
    </w:p>
    <w:p>
      <w:pPr>
        <w:pStyle w:val="Heading2"/>
        <w:spacing w:after="120" w:before="240"/>
      </w:pPr>
      <w:r>
        <w:rPr>
          <w:rFonts w:ascii="Arial" w:cs="Arial" w:eastAsia="Arial" w:hAnsi="Arial"/>
          <w:b/>
          <w:bCs/>
          <w:color w:val="1D4ED8"/>
          <w:sz w:val="26"/>
          <w:szCs w:val="26"/>
        </w:rPr>
        <w:t xml:space="preserve">3.5 Datasets</w:t>
      </w:r>
    </w:p>
    <w:p>
      <w:pPr>
        <w:spacing w:after="160"/>
      </w:pPr>
      <w:r>
        <w:rPr>
          <w:rFonts w:ascii="Arial" w:cs="Arial" w:eastAsia="Arial" w:hAnsi="Arial"/>
          <w:color w:val="1E293B"/>
          <w:sz w:val="22"/>
          <w:szCs w:val="22"/>
        </w:rPr>
        <w:t xml:space="preserve">SQuAD (Rajpurkar et al., 2016) contains 87,599 extractive QA pairs over Wikipedia passages. Questions are factual and short-answer, directly extractable from a single passage. PubMedQA (Jin et al., 2019) contains 1,000 biomedical yes/no/maybe questions over PubMed research abstracts, each with a long-form expert answer requiring multi-sentence reasoning and biomedical terminology. Together, these two datasets span a wide difficulty spectrum suitable for controlled comparison.</w:t>
      </w:r>
    </w:p>
    <w:p>
      <w:pPr>
        <w:spacing w:after="120"/>
      </w:pPr>
      <w:r>
        <w:t xml:space="preserve"/>
      </w:r>
    </w:p>
    <w:p>
      <w:pPr>
        <w:pStyle w:val="Heading1"/>
        <w:pBdr>
          <w:bottom w:val="single" w:color="93C5FD" w:sz="4" w:space="4"/>
        </w:pBdr>
        <w:spacing w:after="180" w:before="360"/>
      </w:pPr>
      <w:r>
        <w:rPr>
          <w:rFonts w:ascii="Arial" w:cs="Arial" w:eastAsia="Arial" w:hAnsi="Arial"/>
          <w:b/>
          <w:bCs/>
          <w:color w:val="1E40AF"/>
          <w:sz w:val="32"/>
          <w:szCs w:val="32"/>
        </w:rPr>
        <w:t xml:space="preserve">4. Methodology</w:t>
      </w:r>
    </w:p>
    <w:p>
      <w:pPr>
        <w:pStyle w:val="Heading2"/>
        <w:spacing w:after="120" w:before="240"/>
      </w:pPr>
      <w:r>
        <w:rPr>
          <w:rFonts w:ascii="Arial" w:cs="Arial" w:eastAsia="Arial" w:hAnsi="Arial"/>
          <w:b/>
          <w:bCs/>
          <w:color w:val="1D4ED8"/>
          <w:sz w:val="26"/>
          <w:szCs w:val="26"/>
        </w:rPr>
        <w:t xml:space="preserve">4.1 RAG Pipeline</w:t>
      </w:r>
    </w:p>
    <w:p>
      <w:pPr>
        <w:spacing w:after="160"/>
      </w:pPr>
      <w:r>
        <w:rPr>
          <w:rFonts w:ascii="Arial" w:cs="Arial" w:eastAsia="Arial" w:hAnsi="Arial"/>
          <w:color w:val="1E293B"/>
          <w:sz w:val="22"/>
          <w:szCs w:val="22"/>
        </w:rPr>
        <w:t xml:space="preserve">The pipeline operates in two phases. During indexing, document text is split into chunks using RecursiveCharacterTextSplitter with configurable chunk size (256, 512, or 1024 tokens) and 10% overlap. Chunks are embedded using sentence-transformers/all-MiniLM-L6-v2 (384-dimensional dense vectors) and stored in ChromaDB with cosine similarity indexing.</w:t>
      </w:r>
    </w:p>
    <w:p>
      <w:pPr>
        <w:spacing w:after="120"/>
      </w:pPr>
      <w:r>
        <w:t xml:space="preserve"/>
      </w:r>
    </w:p>
    <w:p>
      <w:pPr>
        <w:spacing w:after="160"/>
      </w:pPr>
      <w:r>
        <w:rPr>
          <w:rFonts w:ascii="Arial" w:cs="Arial" w:eastAsia="Arial" w:hAnsi="Arial"/>
          <w:color w:val="1E293B"/>
          <w:sz w:val="22"/>
          <w:szCs w:val="22"/>
        </w:rPr>
        <w:t xml:space="preserve">During inference, given a question, the top-k most similar chunks are retrieved via cosine similarity. Retrieved chunks are concatenated and passed to Mistral-7B via Ollama using one of two prompt strategies. The strict prompt instructs the model to answer only from the provided context and explicitly decline if the answer is not present. The chain-of-thought prompt asks the model to reason step by step before providing a final answer.</w:t>
      </w:r>
    </w:p>
    <w:p>
      <w:pPr>
        <w:spacing w:after="120"/>
      </w:pPr>
      <w:r>
        <w:t xml:space="preserve"/>
      </w:r>
    </w:p>
    <w:p>
      <w:pPr>
        <w:pStyle w:val="Heading2"/>
        <w:spacing w:after="120" w:before="240"/>
      </w:pPr>
      <w:r>
        <w:rPr>
          <w:rFonts w:ascii="Arial" w:cs="Arial" w:eastAsia="Arial" w:hAnsi="Arial"/>
          <w:b/>
          <w:bCs/>
          <w:color w:val="1D4ED8"/>
          <w:sz w:val="26"/>
          <w:szCs w:val="26"/>
        </w:rPr>
        <w:t xml:space="preserve">4.2 NLI-Based Hallucination Detector</w:t>
      </w:r>
    </w:p>
    <w:p>
      <w:pPr>
        <w:spacing w:after="160"/>
      </w:pPr>
      <w:r>
        <w:rPr>
          <w:rFonts w:ascii="Arial" w:cs="Arial" w:eastAsia="Arial" w:hAnsi="Arial"/>
          <w:color w:val="1E293B"/>
          <w:sz w:val="22"/>
          <w:szCs w:val="22"/>
        </w:rPr>
        <w:t xml:space="preserve">We use cross-encoder/nli-deberta-v3-base as a zero-shot NLI classifier to score answer faithfulness at the sentence level. For each generated answer, we: (1) split into individual sentences (minimum 10 characters); (2) score each sentence against the retrieved context using NLI, obtaining an entailment probability; (3) average entailment probabilities across all sentences to produce a faithfulness score F in [0, 1]; (4) flag as hallucinated if F &lt; 0.5. The entire pipeline runs locally on Apple Silicon MPS at ~3.41s per query.</w:t>
      </w:r>
    </w:p>
    <w:p>
      <w:pPr>
        <w:spacing w:after="120"/>
      </w:pPr>
      <w:r>
        <w:t xml:space="preserve"/>
      </w:r>
    </w:p>
    <w:p>
      <w:pPr>
        <w:pStyle w:val="Heading2"/>
        <w:spacing w:after="120" w:before="240"/>
      </w:pPr>
      <w:r>
        <w:rPr>
          <w:rFonts w:ascii="Arial" w:cs="Arial" w:eastAsia="Arial" w:hAnsi="Arial"/>
          <w:b/>
          <w:bCs/>
          <w:color w:val="1D4ED8"/>
          <w:sz w:val="26"/>
          <w:szCs w:val="26"/>
        </w:rPr>
        <w:t xml:space="preserve">4.3 Ablation Study Design</w:t>
      </w:r>
    </w:p>
    <w:p>
      <w:pPr>
        <w:spacing w:after="160"/>
      </w:pPr>
      <w:r>
        <w:rPr>
          <w:rFonts w:ascii="Arial" w:cs="Arial" w:eastAsia="Arial" w:hAnsi="Arial"/>
          <w:color w:val="1E293B"/>
          <w:sz w:val="22"/>
          <w:szCs w:val="22"/>
        </w:rPr>
        <w:t xml:space="preserve">We test all combinations of three variables across two datasets: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Variable</w:t>
            </w:r>
          </w:p>
        </w:tc>
        <w:tc>
          <w:tcPr>
            <w:tcW w:type="dxa" w:w="35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Values</w:t>
            </w:r>
          </w:p>
        </w:tc>
        <w:tc>
          <w:tcPr>
            <w:tcW w:type="dxa" w:w="34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Levels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293B"/>
                <w:sz w:val="20"/>
                <w:szCs w:val="20"/>
              </w:rPr>
              <w:t xml:space="preserve">Chunk size</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 512, 1024 tokens</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Retrieval top-k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3, 5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293B"/>
                <w:sz w:val="20"/>
                <w:szCs w:val="20"/>
              </w:rPr>
              <w:t xml:space="preserve">Prompt strategy</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 chain-of-thought</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Configurations per dataset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 × 2 × 2 = 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293B"/>
                <w:sz w:val="20"/>
                <w:szCs w:val="20"/>
              </w:rPr>
              <w:t xml:space="preserve">Questions per config</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40AF"/>
                <w:sz w:val="20"/>
                <w:szCs w:val="20"/>
              </w:rPr>
              <w:t xml:space="preserve">Total queries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40AF"/>
                <w:sz w:val="20"/>
                <w:szCs w:val="20"/>
              </w:rPr>
              <w:t xml:space="preserve">720 (360 per dataset)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r>
    </w:tbl>
    <w:p>
      <w:pPr>
        <w:spacing w:after="120"/>
      </w:pPr>
      <w:r>
        <w:t xml:space="preserve"/>
      </w:r>
    </w:p>
    <w:p>
      <w:pPr>
        <w:pStyle w:val="Heading1"/>
        <w:pBdr>
          <w:bottom w:val="single" w:color="93C5FD" w:sz="4" w:space="4"/>
        </w:pBdr>
        <w:spacing w:after="180" w:before="360"/>
      </w:pPr>
      <w:r>
        <w:rPr>
          <w:rFonts w:ascii="Arial" w:cs="Arial" w:eastAsia="Arial" w:hAnsi="Arial"/>
          <w:b/>
          <w:bCs/>
          <w:color w:val="1E40AF"/>
          <w:sz w:val="32"/>
          <w:szCs w:val="32"/>
        </w:rPr>
        <w:t xml:space="preserve">5. Results</w:t>
      </w:r>
    </w:p>
    <w:p>
      <w:pPr>
        <w:pStyle w:val="Heading2"/>
        <w:spacing w:after="120" w:before="240"/>
      </w:pPr>
      <w:r>
        <w:rPr>
          <w:rFonts w:ascii="Arial" w:cs="Arial" w:eastAsia="Arial" w:hAnsi="Arial"/>
          <w:b/>
          <w:bCs/>
          <w:color w:val="1D4ED8"/>
          <w:sz w:val="26"/>
          <w:szCs w:val="26"/>
        </w:rPr>
        <w:t xml:space="preserve">5.1 SQuAD Results</w:t>
      </w:r>
    </w:p>
    <w:p>
      <w:pPr>
        <w:spacing w:after="160"/>
      </w:pPr>
      <w:r>
        <w:rPr>
          <w:rFonts w:ascii="Arial" w:cs="Arial" w:eastAsia="Arial" w:hAnsi="Arial"/>
          <w:color w:val="1E293B"/>
          <w:sz w:val="22"/>
          <w:szCs w:val="22"/>
        </w:rPr>
        <w:t xml:space="preserve">The table below reports all 12 configurations on SQuAD, sorted by faithfulness. Best configuration highlighted in green. Five configurations achieve 0% hallucination rate, all at chunk size ≥ 512.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1100"/>
        <w:gridCol w:w="1760"/>
        <w:gridCol w:w="1760"/>
        <w:gridCol w:w="1040"/>
      </w:tblGrid>
      <w:tr>
        <w:tc>
          <w:tcPr>
            <w:tcW w:type="dxa" w:w="9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Chunk</w:t>
            </w:r>
          </w:p>
        </w:tc>
        <w:tc>
          <w:tcPr>
            <w:tcW w:type="dxa" w:w="8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Top-K</w:t>
            </w:r>
          </w:p>
        </w:tc>
        <w:tc>
          <w:tcPr>
            <w:tcW w:type="dxa" w:w="11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Prompt</w:t>
            </w:r>
          </w:p>
        </w:tc>
        <w:tc>
          <w:tcPr>
            <w:tcW w:type="dxa" w:w="17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Faithfulness ↑</w:t>
            </w:r>
          </w:p>
        </w:tc>
        <w:tc>
          <w:tcPr>
            <w:tcW w:type="dxa" w:w="17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Halluc. Rate ↓</w:t>
            </w:r>
          </w:p>
        </w:tc>
        <w:tc>
          <w:tcPr>
            <w:tcW w:type="dxa" w:w="104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Samples</w:t>
            </w:r>
          </w:p>
        </w:tc>
      </w:tr>
      <w:tr>
        <w:tc>
          <w:tcPr>
            <w:tcW w:type="dxa" w:w="9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1024</w:t>
            </w:r>
          </w:p>
        </w:tc>
        <w:tc>
          <w:tcPr>
            <w:tcW w:type="dxa" w:w="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5</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strict</w:t>
            </w:r>
          </w:p>
        </w:tc>
        <w:tc>
          <w:tcPr>
            <w:tcW w:type="dxa" w:w="17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0.8274</w:t>
            </w:r>
          </w:p>
        </w:tc>
        <w:tc>
          <w:tcPr>
            <w:tcW w:type="dxa" w:w="17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3.3%</w:t>
            </w:r>
          </w:p>
        </w:tc>
        <w:tc>
          <w:tcPr>
            <w:tcW w:type="dxa" w:w="104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0.8254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0.8001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0.7891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0.7861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0.7827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0.7781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0.7737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6.7%</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0.7254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0.7253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0.6835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6.7%</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0.6732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bl>
    <w:p>
      <w:pPr>
        <w:spacing w:after="120"/>
      </w:pPr>
      <w:r>
        <w:t xml:space="preserve"/>
      </w:r>
    </w:p>
    <w:p>
      <w:pPr>
        <w:pStyle w:val="Heading2"/>
        <w:spacing w:after="120" w:before="240"/>
      </w:pPr>
      <w:r>
        <w:rPr>
          <w:rFonts w:ascii="Arial" w:cs="Arial" w:eastAsia="Arial" w:hAnsi="Arial"/>
          <w:b/>
          <w:bCs/>
          <w:color w:val="1D4ED8"/>
          <w:sz w:val="26"/>
          <w:szCs w:val="26"/>
        </w:rPr>
        <w:t xml:space="preserve">5.2 PubMedQA Results</w:t>
      </w:r>
    </w:p>
    <w:p>
      <w:pPr>
        <w:spacing w:after="160"/>
      </w:pPr>
      <w:r>
        <w:rPr>
          <w:rFonts w:ascii="Arial" w:cs="Arial" w:eastAsia="Arial" w:hAnsi="Arial"/>
          <w:color w:val="1E293B"/>
          <w:sz w:val="22"/>
          <w:szCs w:val="22"/>
        </w:rPr>
        <w:t xml:space="preserve">Overall faithfulness is substantially lower (0.56–0.62 vs. 0.67–0.83 on SQuAD) and hallucination rates are higher (10–30% vs. 0–10%). Critically, the best configuration shifts to chunk=512, k=3, CoT — not chunk=1024 as on SQuAD. Best configuration highlighted in amber.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1100"/>
        <w:gridCol w:w="1760"/>
        <w:gridCol w:w="1760"/>
        <w:gridCol w:w="1040"/>
      </w:tblGrid>
      <w:tr>
        <w:tc>
          <w:tcPr>
            <w:tcW w:type="dxa" w:w="9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Chunk</w:t>
            </w:r>
          </w:p>
        </w:tc>
        <w:tc>
          <w:tcPr>
            <w:tcW w:type="dxa" w:w="8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Top-K</w:t>
            </w:r>
          </w:p>
        </w:tc>
        <w:tc>
          <w:tcPr>
            <w:tcW w:type="dxa" w:w="11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Prompt</w:t>
            </w:r>
          </w:p>
        </w:tc>
        <w:tc>
          <w:tcPr>
            <w:tcW w:type="dxa" w:w="17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Faithfulness ↑</w:t>
            </w:r>
          </w:p>
        </w:tc>
        <w:tc>
          <w:tcPr>
            <w:tcW w:type="dxa" w:w="17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Halluc. Rate ↓</w:t>
            </w:r>
          </w:p>
        </w:tc>
        <w:tc>
          <w:tcPr>
            <w:tcW w:type="dxa" w:w="104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Samples</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left"/>
            </w:pPr>
            <w:r>
              <w:rPr>
                <w:rFonts w:ascii="Arial" w:cs="Arial" w:eastAsia="Arial" w:hAnsi="Arial"/>
                <w:b/>
                <w:bCs/>
                <w:color w:val="92400E"/>
                <w:sz w:val="20"/>
                <w:szCs w:val="20"/>
              </w:rPr>
              <w:t xml:space="preserve">512</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left"/>
            </w:pPr>
            <w:r>
              <w:rPr>
                <w:rFonts w:ascii="Arial" w:cs="Arial" w:eastAsia="Arial" w:hAnsi="Arial"/>
                <w:b/>
                <w:bCs/>
                <w:color w:val="92400E"/>
                <w:sz w:val="20"/>
                <w:szCs w:val="20"/>
              </w:rPr>
              <w:t xml:space="preserve">3</w:t>
            </w:r>
          </w:p>
        </w:tc>
        <w:tc>
          <w:tcPr>
            <w:tcW w:type="dxa" w:w="1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left"/>
            </w:pPr>
            <w:r>
              <w:rPr>
                <w:rFonts w:ascii="Arial" w:cs="Arial" w:eastAsia="Arial" w:hAnsi="Arial"/>
                <w:b/>
                <w:bCs/>
                <w:color w:val="92400E"/>
                <w:sz w:val="20"/>
                <w:szCs w:val="20"/>
              </w:rPr>
              <w:t xml:space="preserve">cot</w:t>
            </w:r>
          </w:p>
        </w:tc>
        <w:tc>
          <w:tcPr>
            <w:tcW w:type="dxa" w:w="17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left"/>
            </w:pPr>
            <w:r>
              <w:rPr>
                <w:rFonts w:ascii="Arial" w:cs="Arial" w:eastAsia="Arial" w:hAnsi="Arial"/>
                <w:b/>
                <w:bCs/>
                <w:color w:val="92400E"/>
                <w:sz w:val="20"/>
                <w:szCs w:val="20"/>
              </w:rPr>
              <w:t xml:space="preserve">0.6196</w:t>
            </w:r>
          </w:p>
        </w:tc>
        <w:tc>
          <w:tcPr>
            <w:tcW w:type="dxa" w:w="17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left"/>
            </w:pPr>
            <w:r>
              <w:rPr>
                <w:rFonts w:ascii="Arial" w:cs="Arial" w:eastAsia="Arial" w:hAnsi="Arial"/>
                <w:b/>
                <w:bCs/>
                <w:color w:val="92400E"/>
                <w:sz w:val="20"/>
                <w:szCs w:val="20"/>
              </w:rPr>
              <w:t xml:space="preserve">13.3%</w:t>
            </w:r>
          </w:p>
        </w:tc>
        <w:tc>
          <w:tcPr>
            <w:tcW w:type="dxa" w:w="10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left"/>
            </w:pPr>
            <w:r>
              <w:rPr>
                <w:rFonts w:ascii="Arial" w:cs="Arial" w:eastAsia="Arial" w:hAnsi="Arial"/>
                <w:b/>
                <w:bCs/>
                <w:color w:val="92400E"/>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0.6167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0.6028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16.7%</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0.5963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20.0%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0.5906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13.3%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0.5881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13.3%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0.5849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16.7%</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0.5844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20.0%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0.5802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20.0%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0.5636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26.7%</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0.5591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0.5585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bl>
    <w:p>
      <w:pPr>
        <w:spacing w:after="120"/>
      </w:pPr>
      <w:r>
        <w:t xml:space="preserve"/>
      </w:r>
    </w:p>
    <w:p>
      <w:pPr>
        <w:pStyle w:val="Heading2"/>
        <w:spacing w:after="120" w:before="240"/>
      </w:pPr>
      <w:r>
        <w:rPr>
          <w:rFonts w:ascii="Arial" w:cs="Arial" w:eastAsia="Arial" w:hAnsi="Arial"/>
          <w:b/>
          <w:bCs/>
          <w:color w:val="1D4ED8"/>
          <w:sz w:val="26"/>
          <w:szCs w:val="26"/>
        </w:rPr>
        <w:t xml:space="preserve">5.3 Variance Decomposition</w:t>
      </w:r>
    </w:p>
    <w:p>
      <w:pPr>
        <w:spacing w:after="160"/>
      </w:pPr>
      <w:r>
        <w:rPr>
          <w:rFonts w:ascii="Arial" w:cs="Arial" w:eastAsia="Arial" w:hAnsi="Arial"/>
          <w:color w:val="1E293B"/>
          <w:sz w:val="22"/>
          <w:szCs w:val="22"/>
        </w:rPr>
        <w:t xml:space="preserve">The table below shows the proportional variance contribution of each factor. Chunk size dominates on both datasets. The chunk size effect (0.070 faithfulness points average) is 7.8× larger than the prompt strategy effect (0.009 points).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Factor</w:t>
            </w:r>
          </w:p>
        </w:tc>
        <w:tc>
          <w:tcPr>
            <w:tcW w:type="dxa" w:w="312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SQuAD</w:t>
            </w:r>
          </w:p>
        </w:tc>
        <w:tc>
          <w:tcPr>
            <w:tcW w:type="dxa" w:w="312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PubMedQA</w:t>
            </w:r>
          </w:p>
        </w:tc>
      </w:tr>
      <w:tr>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Chunk size</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90.1%</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61.2%</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Top-k</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9.8%</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26.1%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Prompt strategy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12.7%</w:t>
            </w:r>
          </w:p>
        </w:tc>
      </w:tr>
    </w:tbl>
    <w:p>
      <w:pPr>
        <w:spacing w:after="120"/>
      </w:pPr>
      <w:r>
        <w:t xml:space="preserve"/>
      </w:r>
    </w:p>
    <w:p>
      <w:pPr>
        <w:pStyle w:val="Heading2"/>
        <w:spacing w:after="120" w:before="240"/>
      </w:pPr>
      <w:r>
        <w:rPr>
          <w:rFonts w:ascii="Arial" w:cs="Arial" w:eastAsia="Arial" w:hAnsi="Arial"/>
          <w:b/>
          <w:bCs/>
          <w:color w:val="1D4ED8"/>
          <w:sz w:val="26"/>
          <w:szCs w:val="26"/>
        </w:rPr>
        <w:t xml:space="preserve">5.4 Cross-Dataset Faithfulness Gap</w:t>
      </w:r>
    </w:p>
    <w:p>
      <w:pPr>
        <w:spacing w:after="160"/>
      </w:pPr>
      <w:r>
        <w:rPr>
          <w:rFonts w:ascii="Arial" w:cs="Arial" w:eastAsia="Arial" w:hAnsi="Arial"/>
          <w:color w:val="1E293B"/>
          <w:sz w:val="22"/>
          <w:szCs w:val="22"/>
        </w:rPr>
        <w:t xml:space="preserve">The gap between SQuAD and PubMedQA faithfulness widens with chunk size — from 0.137 at chunk=256 to 0.214 at chunk=1024. This suggests larger chunks amplify the advantage of domain-aligned corpora and that vocabulary mismatch becomes a bigger obstacle as context gets richer.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Chunk</w:t>
            </w:r>
          </w:p>
        </w:tc>
        <w:tc>
          <w:tcPr>
            <w:tcW w:type="dxa" w:w="234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SQuAD Faithfulness</w:t>
            </w:r>
          </w:p>
        </w:tc>
        <w:tc>
          <w:tcPr>
            <w:tcW w:type="dxa" w:w="234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PubMedQA Faithfulness</w:t>
            </w:r>
          </w:p>
        </w:tc>
        <w:tc>
          <w:tcPr>
            <w:tcW w:type="dxa" w:w="234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Gap</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0.7018</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0.5654</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0.137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0.7801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0.5994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0.181</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0.8105</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0.5965</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0.214</w:t>
            </w:r>
          </w:p>
        </w:tc>
      </w:tr>
    </w:tbl>
    <w:p>
      <w:pPr>
        <w:spacing w:after="120"/>
      </w:pPr>
      <w:r>
        <w:t xml:space="preserve"/>
      </w:r>
    </w:p>
    <w:p>
      <w:pPr>
        <w:pStyle w:val="Heading2"/>
        <w:spacing w:after="120" w:before="240"/>
      </w:pPr>
      <w:r>
        <w:rPr>
          <w:rFonts w:ascii="Arial" w:cs="Arial" w:eastAsia="Arial" w:hAnsi="Arial"/>
          <w:b/>
          <w:bCs/>
          <w:color w:val="1D4ED8"/>
          <w:sz w:val="26"/>
          <w:szCs w:val="26"/>
        </w:rPr>
        <w:t xml:space="preserve">5.5 Per-Question Distribution (SQuAD Evaluation Set)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Mean</w:t>
            </w:r>
          </w:p>
        </w:tc>
        <w:tc>
          <w:tcPr>
            <w:tcW w:type="dxa" w:w="234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Median</w:t>
            </w:r>
          </w:p>
        </w:tc>
        <w:tc>
          <w:tcPr>
            <w:tcW w:type="dxa" w:w="234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Std Dev</w:t>
            </w:r>
          </w:p>
        </w:tc>
        <w:tc>
          <w:tcPr>
            <w:tcW w:type="dxa" w:w="234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Halluc. Rate</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0.7406</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0.7236</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0.1567</w:t>
            </w:r>
          </w:p>
        </w:tc>
        <w:tc>
          <w:tcPr>
            <w:tcW w:type="dxa" w:w="234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4.0%</w:t>
            </w:r>
          </w:p>
        </w:tc>
      </w:tr>
    </w:tbl>
    <w:p>
      <w:pPr>
        <w:spacing w:after="120"/>
      </w:pPr>
      <w:r>
        <w:t xml:space="preserve"/>
      </w:r>
    </w:p>
    <w:p>
      <w:pPr>
        <w:pStyle w:val="Heading1"/>
        <w:pBdr>
          <w:bottom w:val="single" w:color="93C5FD" w:sz="4" w:space="4"/>
        </w:pBdr>
        <w:spacing w:after="180" w:before="360"/>
      </w:pPr>
      <w:r>
        <w:rPr>
          <w:rFonts w:ascii="Arial" w:cs="Arial" w:eastAsia="Arial" w:hAnsi="Arial"/>
          <w:b/>
          <w:bCs/>
          <w:color w:val="1E40AF"/>
          <w:sz w:val="32"/>
          <w:szCs w:val="32"/>
        </w:rPr>
        <w:t xml:space="preserve">6. Analysis &amp; Discussion</w:t>
      </w:r>
    </w:p>
    <w:p>
      <w:pPr>
        <w:pStyle w:val="Heading2"/>
        <w:spacing w:after="120" w:before="240"/>
      </w:pPr>
      <w:r>
        <w:rPr>
          <w:rFonts w:ascii="Arial" w:cs="Arial" w:eastAsia="Arial" w:hAnsi="Arial"/>
          <w:b/>
          <w:bCs/>
          <w:color w:val="1D4ED8"/>
          <w:sz w:val="26"/>
          <w:szCs w:val="26"/>
        </w:rPr>
        <w:t xml:space="preserve">6.1 Why Chunk Size Dominates</w:t>
      </w:r>
    </w:p>
    <w:p>
      <w:pPr>
        <w:spacing w:after="160"/>
      </w:pPr>
      <w:r>
        <w:rPr>
          <w:rFonts w:ascii="Arial" w:cs="Arial" w:eastAsia="Arial" w:hAnsi="Arial"/>
          <w:color w:val="1E293B"/>
          <w:sz w:val="22"/>
          <w:szCs w:val="22"/>
        </w:rPr>
        <w:t xml:space="preserve">At chunk size 256, individual chunks are too short to fully cover multi-clause questions. Mistral receives partial context and interpolates from parametric memory, introducing unfaithful content. At chunk size 1024, each retrieved chunk provides rich surrounding context, reducing the need for interpolation. This explains the strong monotonic relationship between chunk size and faithfulness on SQuAD.</w:t>
      </w:r>
    </w:p>
    <w:p>
      <w:pPr>
        <w:spacing w:after="120"/>
      </w:pPr>
      <w:r>
        <w:t xml:space="preserve"/>
      </w:r>
    </w:p>
    <w:p>
      <w:pPr>
        <w:spacing w:after="160"/>
      </w:pPr>
      <w:r>
        <w:rPr>
          <w:rFonts w:ascii="Arial" w:cs="Arial" w:eastAsia="Arial" w:hAnsi="Arial"/>
          <w:color w:val="1E293B"/>
          <w:sz w:val="22"/>
          <w:szCs w:val="22"/>
        </w:rPr>
        <w:t xml:space="preserve">On PubMedQA, the optimal chunk size shifts to 512. Biomedical abstracts are typically 200–300 words, meaning at chunk=1024, retrieved chunks frequently span multiple abstracts and introduce cross-abstract topic noise. At chunk=512, retrieved units more closely respect natural document boundaries, improving precision.</w:t>
      </w:r>
    </w:p>
    <w:p>
      <w:pPr>
        <w:spacing w:after="120"/>
      </w:pPr>
      <w:r>
        <w:t xml:space="preserve"/>
      </w:r>
    </w:p>
    <w:p>
      <w:pPr>
        <w:pStyle w:val="Heading2"/>
        <w:spacing w:after="120" w:before="240"/>
      </w:pPr>
      <w:r>
        <w:rPr>
          <w:rFonts w:ascii="Arial" w:cs="Arial" w:eastAsia="Arial" w:hAnsi="Arial"/>
          <w:b/>
          <w:bCs/>
          <w:color w:val="1D4ED8"/>
          <w:sz w:val="26"/>
          <w:szCs w:val="26"/>
        </w:rPr>
        <w:t xml:space="preserve">6.2 Why Prompt Strategy Has Negligible Effect on SQuAD</w:t>
      </w:r>
    </w:p>
    <w:p>
      <w:pPr>
        <w:spacing w:after="160"/>
      </w:pPr>
      <w:r>
        <w:rPr>
          <w:rFonts w:ascii="Arial" w:cs="Arial" w:eastAsia="Arial" w:hAnsi="Arial"/>
          <w:color w:val="1E293B"/>
          <w:sz w:val="22"/>
          <w:szCs w:val="22"/>
        </w:rPr>
        <w:t xml:space="preserve">On SQuAD, strict and CoT prompting never differ by more than 0.011 faithfulness points at any matched chunk/k configuration. SQuAD questions are short and directly answerable from a single passage span. When context is sufficient, the model generates faithful answers under both prompt conditions. CoT adds verbosity without faithfulness — extra reasoning sentences introduce more text for the NLI detector to evaluate, with no improvement in entailment scores.</w:t>
      </w:r>
    </w:p>
    <w:p>
      <w:pPr>
        <w:spacing w:after="120"/>
      </w:pPr>
      <w:r>
        <w:t xml:space="preserve"/>
      </w:r>
    </w:p>
    <w:p>
      <w:pPr>
        <w:pStyle w:val="Heading2"/>
        <w:spacing w:after="120" w:before="240"/>
      </w:pPr>
      <w:r>
        <w:rPr>
          <w:rFonts w:ascii="Arial" w:cs="Arial" w:eastAsia="Arial" w:hAnsi="Arial"/>
          <w:b/>
          <w:bCs/>
          <w:color w:val="1D4ED8"/>
          <w:sz w:val="26"/>
          <w:szCs w:val="26"/>
        </w:rPr>
        <w:t xml:space="preserve">6.3 Why Prompt Strategy Matters on PubMedQA</w:t>
      </w:r>
    </w:p>
    <w:p>
      <w:pPr>
        <w:spacing w:after="160"/>
      </w:pPr>
      <w:r>
        <w:rPr>
          <w:rFonts w:ascii="Arial" w:cs="Arial" w:eastAsia="Arial" w:hAnsi="Arial"/>
          <w:color w:val="1E293B"/>
          <w:sz w:val="22"/>
          <w:szCs w:val="22"/>
        </w:rPr>
        <w:t xml:space="preserve">Prompt strategy contributes 12.7% of variance on PubMedQA vs. 0.2% on SQuAD. Biomedical questions require interpreting statistical results, understanding study design, and synthesizing across multiple abstract sentences — tasks where CoT reasoning genuinely helps. The best PubMedQA configuration uses CoT, and CoT generally outperforms strict at matched chunk/k pairs on PubMedQA. This suggests a domain–strategy interaction: CoT becomes a useful lever when the task requires multi-step reasoning, but is irrelevant for simple factual lookups.</w:t>
      </w:r>
    </w:p>
    <w:p>
      <w:pPr>
        <w:spacing w:after="120"/>
      </w:pPr>
      <w:r>
        <w:t xml:space="preserve"/>
      </w:r>
    </w:p>
    <w:p>
      <w:pPr>
        <w:pStyle w:val="Heading2"/>
        <w:spacing w:after="120" w:before="240"/>
      </w:pPr>
      <w:r>
        <w:rPr>
          <w:rFonts w:ascii="Arial" w:cs="Arial" w:eastAsia="Arial" w:hAnsi="Arial"/>
          <w:b/>
          <w:bCs/>
          <w:color w:val="1D4ED8"/>
          <w:sz w:val="26"/>
          <w:szCs w:val="26"/>
        </w:rPr>
        <w:t xml:space="preserve">6.4 Practical Recommendations</w:t>
      </w:r>
    </w:p>
    <w:p>
      <w:pPr>
        <w:pStyle w:val="ListParagraph"/>
        <w:numPr>
          <w:ilvl w:val="0"/>
          <w:numId w:val="2"/>
        </w:numPr>
        <w:spacing w:after="100"/>
      </w:pPr>
      <w:r>
        <w:rPr>
          <w:rFonts w:ascii="Arial" w:cs="Arial" w:eastAsia="Arial" w:hAnsi="Arial"/>
          <w:color w:val="1E293B"/>
          <w:sz w:val="22"/>
          <w:szCs w:val="22"/>
        </w:rPr>
        <w:t xml:space="preserve">Prioritize chunk size tuning over prompt engineering. Variance decomposition consistently shows chunk size as the dominant lever (≥61% across both datasets).</w:t>
      </w:r>
    </w:p>
    <w:p>
      <w:pPr>
        <w:pStyle w:val="ListParagraph"/>
        <w:numPr>
          <w:ilvl w:val="0"/>
          <w:numId w:val="2"/>
        </w:numPr>
        <w:spacing w:after="100"/>
      </w:pPr>
      <w:r>
        <w:rPr>
          <w:rFonts w:ascii="Arial" w:cs="Arial" w:eastAsia="Arial" w:hAnsi="Arial"/>
          <w:color w:val="1E293B"/>
          <w:sz w:val="22"/>
          <w:szCs w:val="22"/>
        </w:rPr>
        <w:t xml:space="preserve">Use domain-appropriate chunk sizes. General knowledge corpora benefit from larger chunks (1024); domain-specific corpora with short natural text units benefit from moderate chunks (512).</w:t>
      </w:r>
    </w:p>
    <w:p>
      <w:pPr>
        <w:pStyle w:val="ListParagraph"/>
        <w:numPr>
          <w:ilvl w:val="0"/>
          <w:numId w:val="2"/>
        </w:numPr>
        <w:spacing w:after="100"/>
      </w:pPr>
      <w:r>
        <w:rPr>
          <w:rFonts w:ascii="Arial" w:cs="Arial" w:eastAsia="Arial" w:hAnsi="Arial"/>
          <w:color w:val="1E293B"/>
          <w:sz w:val="22"/>
          <w:szCs w:val="22"/>
        </w:rPr>
        <w:t xml:space="preserve">Use strict prompting for simple factual QA; consider CoT for complex reasoning. The benefit of CoT is task-dependent, not universal.</w:t>
      </w:r>
    </w:p>
    <w:p>
      <w:pPr>
        <w:pStyle w:val="ListParagraph"/>
        <w:numPr>
          <w:ilvl w:val="0"/>
          <w:numId w:val="2"/>
        </w:numPr>
        <w:spacing w:after="100"/>
      </w:pPr>
      <w:r>
        <w:rPr>
          <w:rFonts w:ascii="Arial" w:cs="Arial" w:eastAsia="Arial" w:hAnsi="Arial"/>
          <w:color w:val="1E293B"/>
          <w:sz w:val="22"/>
          <w:szCs w:val="22"/>
        </w:rPr>
        <w:t xml:space="preserve">Prefer lower k for high-specificity domains. On PubMedQA, k=3 consistently outperforms k=5. Retrieval precision matters more than recall when documents are dense and topically narrow.</w:t>
      </w:r>
    </w:p>
    <w:p>
      <w:pPr>
        <w:spacing w:after="120"/>
      </w:pPr>
      <w:r>
        <w:t xml:space="preserve"/>
      </w:r>
    </w:p>
    <w:p>
      <w:pPr>
        <w:pStyle w:val="Heading2"/>
        <w:spacing w:after="120" w:before="240"/>
      </w:pPr>
      <w:r>
        <w:rPr>
          <w:rFonts w:ascii="Arial" w:cs="Arial" w:eastAsia="Arial" w:hAnsi="Arial"/>
          <w:b/>
          <w:bCs/>
          <w:color w:val="1D4ED8"/>
          <w:sz w:val="26"/>
          <w:szCs w:val="26"/>
        </w:rPr>
        <w:t xml:space="preserve">6.5 Limitations</w:t>
      </w:r>
    </w:p>
    <w:p>
      <w:pPr>
        <w:pStyle w:val="ListParagraph"/>
        <w:numPr>
          <w:ilvl w:val="0"/>
          <w:numId w:val="3"/>
        </w:numPr>
        <w:spacing w:after="100"/>
      </w:pPr>
      <w:r>
        <w:rPr>
          <w:rFonts w:ascii="Arial" w:cs="Arial" w:eastAsia="Arial" w:hAnsi="Arial"/>
          <w:color w:val="1E293B"/>
          <w:sz w:val="22"/>
          <w:szCs w:val="22"/>
        </w:rPr>
        <w:t xml:space="preserve">The NLI faithfulness scorer has its own error rate. DeBERTa-v3 may misclassify borderline entailment cases, particularly for complex biomedical claims.</w:t>
      </w:r>
    </w:p>
    <w:p>
      <w:pPr>
        <w:pStyle w:val="ListParagraph"/>
        <w:numPr>
          <w:ilvl w:val="0"/>
          <w:numId w:val="3"/>
        </w:numPr>
        <w:spacing w:after="100"/>
      </w:pPr>
      <w:r>
        <w:rPr>
          <w:rFonts w:ascii="Arial" w:cs="Arial" w:eastAsia="Arial" w:hAnsi="Arial"/>
          <w:color w:val="1E293B"/>
          <w:sz w:val="22"/>
          <w:szCs w:val="22"/>
        </w:rPr>
        <w:t xml:space="preserve">We evaluate a single LLM (Mistral-7B). The relative magnitude of retrieval vs. prompting effects may vary with model size and instruction-tuning.</w:t>
      </w:r>
    </w:p>
    <w:p>
      <w:pPr>
        <w:pStyle w:val="ListParagraph"/>
        <w:numPr>
          <w:ilvl w:val="0"/>
          <w:numId w:val="3"/>
        </w:numPr>
        <w:spacing w:after="100"/>
      </w:pPr>
      <w:r>
        <w:rPr>
          <w:rFonts w:ascii="Arial" w:cs="Arial" w:eastAsia="Arial" w:hAnsi="Arial"/>
          <w:color w:val="1E293B"/>
          <w:sz w:val="22"/>
          <w:szCs w:val="22"/>
        </w:rPr>
        <w:t xml:space="preserve">30 questions per configuration is modest. Larger-scale evaluation would strengthen variance decomposition estimates.</w:t>
      </w:r>
    </w:p>
    <w:p>
      <w:pPr>
        <w:pStyle w:val="ListParagraph"/>
        <w:numPr>
          <w:ilvl w:val="0"/>
          <w:numId w:val="3"/>
        </w:numPr>
        <w:spacing w:after="100"/>
      </w:pPr>
      <w:r>
        <w:rPr>
          <w:rFonts w:ascii="Arial" w:cs="Arial" w:eastAsia="Arial" w:hAnsi="Arial"/>
          <w:color w:val="1E293B"/>
          <w:sz w:val="22"/>
          <w:szCs w:val="22"/>
        </w:rPr>
        <w:t xml:space="preserve">RAGAS answer relevancy scoring was not computed due to timeout issues with local parallel LLM evaluation.</w:t>
      </w:r>
    </w:p>
    <w:p>
      <w:pPr>
        <w:spacing w:after="120"/>
      </w:pPr>
      <w:r>
        <w:t xml:space="preserve"/>
      </w:r>
    </w:p>
    <w:p>
      <w:pPr>
        <w:pStyle w:val="Heading1"/>
        <w:pBdr>
          <w:bottom w:val="single" w:color="93C5FD" w:sz="4" w:space="4"/>
        </w:pBdr>
        <w:spacing w:after="180" w:before="360"/>
      </w:pPr>
      <w:r>
        <w:rPr>
          <w:rFonts w:ascii="Arial" w:cs="Arial" w:eastAsia="Arial" w:hAnsi="Arial"/>
          <w:b/>
          <w:bCs/>
          <w:color w:val="1E40AF"/>
          <w:sz w:val="32"/>
          <w:szCs w:val="32"/>
        </w:rPr>
        <w:t xml:space="preserve">7. Conclusion</w:t>
      </w:r>
    </w:p>
    <w:p>
      <w:pPr>
        <w:spacing w:after="160"/>
      </w:pPr>
      <w:r>
        <w:rPr>
          <w:rFonts w:ascii="Arial" w:cs="Arial" w:eastAsia="Arial" w:hAnsi="Arial"/>
          <w:color w:val="1E293B"/>
          <w:sz w:val="22"/>
          <w:szCs w:val="22"/>
        </w:rPr>
        <w:t xml:space="preserve">We presented a complete RAG pipeline with integrated NLI-based hallucination detection, evaluated across 720 queries on Stanford SQuAD and PubMedQA. Variance decomposition reveals that chunk size accounts for 90.1% of faithfulness variance on SQuAD and 61.2% on PubMedQA, while prompt strategy accounts for only 0.2% and 12.7% respectively. The chunk size effect is 7.8× larger than the prompt strategy effect when averaged across both datasets.</w:t>
      </w:r>
    </w:p>
    <w:p>
      <w:pPr>
        <w:spacing w:after="120"/>
      </w:pPr>
      <w:r>
        <w:t xml:space="preserve"/>
      </w:r>
    </w:p>
    <w:p>
      <w:pPr>
        <w:spacing w:after="160"/>
      </w:pPr>
      <w:r>
        <w:rPr>
          <w:rFonts w:ascii="Arial" w:cs="Arial" w:eastAsia="Arial" w:hAnsi="Arial"/>
          <w:color w:val="1E293B"/>
          <w:sz w:val="22"/>
          <w:szCs w:val="22"/>
        </w:rPr>
        <w:t xml:space="preserve">Critically, the optimal chunk size is domain-dependent: chunk=1024 is best for general-knowledge QA (SQuAD), while chunk=512 is best for biomedical QA (PubMedQA). This finding has direct implications for RAG system design: retrieval configuration should be tuned per domain, and prompt engineering should be prioritized only after retrieval has been optimized.</w:t>
      </w:r>
    </w:p>
    <w:p>
      <w:pPr>
        <w:spacing w:after="120"/>
      </w:pPr>
      <w:r>
        <w:t xml:space="preserve"/>
      </w:r>
    </w:p>
    <w:p>
      <w:pPr>
        <w:spacing w:after="160"/>
      </w:pPr>
      <w:r>
        <w:rPr>
          <w:rFonts w:ascii="Arial" w:cs="Arial" w:eastAsia="Arial" w:hAnsi="Arial"/>
          <w:color w:val="1E293B"/>
          <w:sz w:val="22"/>
          <w:szCs w:val="22"/>
        </w:rPr>
        <w:t xml:space="preserve">The research paper based on this project is available at: github.com/Saket-Maganti/rag-hallucination-detection</w:t>
      </w:r>
    </w:p>
    <w:p>
      <w:pPr>
        <w:spacing w:after="120"/>
      </w:pPr>
      <w:r>
        <w:t xml:space="preserve"/>
      </w:r>
    </w:p>
    <w:p>
      <w:pPr>
        <w:pStyle w:val="Heading1"/>
        <w:pBdr>
          <w:bottom w:val="single" w:color="93C5FD" w:sz="4" w:space="4"/>
        </w:pBdr>
        <w:spacing w:after="180" w:before="360"/>
      </w:pPr>
      <w:r>
        <w:rPr>
          <w:rFonts w:ascii="Arial" w:cs="Arial" w:eastAsia="Arial" w:hAnsi="Arial"/>
          <w:b/>
          <w:bCs/>
          <w:color w:val="1E40AF"/>
          <w:sz w:val="32"/>
          <w:szCs w:val="32"/>
        </w:rPr>
        <w:t xml:space="preserve">8. Technical Stack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31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40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293B"/>
                <w:sz w:val="20"/>
                <w:szCs w:val="20"/>
              </w:rPr>
              <w:t xml:space="preserve">LLM</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Mistral-7B via Ollama</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Local inference, Apple Silicon MPS, ~3.4s/query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Vector Store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ChromaDB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Persistent local index, cosine similarity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293B"/>
                <w:sz w:val="20"/>
                <w:szCs w:val="20"/>
              </w:rPr>
              <w:t xml:space="preserve">RAG Framework</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LangChain</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Retrieval and generation orchestration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Embeddings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all-MiniLM-L6-v2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384-dim dense vectors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293B"/>
                <w:sz w:val="20"/>
                <w:szCs w:val="20"/>
              </w:rPr>
              <w:t xml:space="preserve">Halluc. Detector</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DeBERTa-v3 NLI</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Sentence-level entailment scoring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Datasets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SQuAD + PubMedQA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General + biomedical QA, 720 total queries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293B"/>
                <w:sz w:val="20"/>
                <w:szCs w:val="20"/>
              </w:rPr>
              <w:t xml:space="preserve">Hardware</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Apple M4 16GB MPS</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 cloud compute required</w:t>
            </w:r>
          </w:p>
        </w:tc>
      </w:tr>
    </w:tbl>
    <w:p>
      <w:pPr>
        <w:spacing w:after="120"/>
      </w:pPr>
      <w:r>
        <w:t xml:space="preserve"/>
      </w:r>
    </w:p>
    <w:p>
      <w:pPr>
        <w:pStyle w:val="Heading1"/>
        <w:pBdr>
          <w:bottom w:val="single" w:color="93C5FD" w:sz="4" w:space="4"/>
        </w:pBdr>
        <w:spacing w:after="180" w:before="360"/>
      </w:pPr>
      <w:r>
        <w:rPr>
          <w:rFonts w:ascii="Arial" w:cs="Arial" w:eastAsia="Arial" w:hAnsi="Arial"/>
          <w:b/>
          <w:bCs/>
          <w:color w:val="1E40AF"/>
          <w:sz w:val="32"/>
          <w:szCs w:val="32"/>
        </w:rPr>
        <w:t xml:space="preserve">9. References</w:t>
      </w:r>
    </w:p>
    <w:p>
      <w:pPr>
        <w:spacing w:after="160"/>
      </w:pPr>
      <w:r>
        <w:rPr>
          <w:rFonts w:ascii="Arial" w:cs="Arial" w:eastAsia="Arial" w:hAnsi="Arial"/>
          <w:color w:val="1E293B"/>
          <w:sz w:val="22"/>
          <w:szCs w:val="22"/>
        </w:rPr>
        <w:t xml:space="preserve">Lewis, P. et al. (2020). Retrieval-Augmented Generation for Knowledge-Intensive NLP Tasks. NeurIPS 2020. arXiv:2005.11401</w:t>
      </w:r>
    </w:p>
    <w:p>
      <w:pPr>
        <w:spacing w:after="160"/>
      </w:pPr>
      <w:r>
        <w:rPr>
          <w:rFonts w:ascii="Arial" w:cs="Arial" w:eastAsia="Arial" w:hAnsi="Arial"/>
          <w:color w:val="1E293B"/>
          <w:sz w:val="22"/>
          <w:szCs w:val="22"/>
        </w:rPr>
        <w:t xml:space="preserve">Rajpurkar, P. et al. (2016). SQuAD: 100,000+ Questions for Machine Comprehension of Text. EMNLP 2016. arXiv:1606.05250</w:t>
      </w:r>
    </w:p>
    <w:p>
      <w:pPr>
        <w:spacing w:after="160"/>
      </w:pPr>
      <w:r>
        <w:rPr>
          <w:rFonts w:ascii="Arial" w:cs="Arial" w:eastAsia="Arial" w:hAnsi="Arial"/>
          <w:color w:val="1E293B"/>
          <w:sz w:val="22"/>
          <w:szCs w:val="22"/>
        </w:rPr>
        <w:t xml:space="preserve">Jin, Q. et al. (2019). PubMedQA: A Biomedical Research Question Answering Dataset. EMNLP 2019. arXiv:1909.06146</w:t>
      </w:r>
    </w:p>
    <w:p>
      <w:pPr>
        <w:spacing w:after="160"/>
      </w:pPr>
      <w:r>
        <w:rPr>
          <w:rFonts w:ascii="Arial" w:cs="Arial" w:eastAsia="Arial" w:hAnsi="Arial"/>
          <w:color w:val="1E293B"/>
          <w:sz w:val="22"/>
          <w:szCs w:val="22"/>
        </w:rPr>
        <w:t xml:space="preserve">He, P. et al. (2021). DeBERTaV3: Improving DeBERTa using ELECTRA-Style Pre-Training. arXiv:2111.09543</w:t>
      </w:r>
    </w:p>
    <w:p>
      <w:pPr>
        <w:spacing w:after="160"/>
      </w:pPr>
      <w:r>
        <w:rPr>
          <w:rFonts w:ascii="Arial" w:cs="Arial" w:eastAsia="Arial" w:hAnsi="Arial"/>
          <w:color w:val="1E293B"/>
          <w:sz w:val="22"/>
          <w:szCs w:val="22"/>
        </w:rPr>
        <w:t xml:space="preserve">Jiang, A.Q. et al. (2023). Mistral 7B. arXiv:2310.06825</w:t>
      </w:r>
    </w:p>
    <w:p>
      <w:pPr>
        <w:spacing w:after="160"/>
      </w:pPr>
      <w:r>
        <w:rPr>
          <w:rFonts w:ascii="Arial" w:cs="Arial" w:eastAsia="Arial" w:hAnsi="Arial"/>
          <w:color w:val="1E293B"/>
          <w:sz w:val="22"/>
          <w:szCs w:val="22"/>
        </w:rPr>
        <w:t xml:space="preserve">Wei, J. et al. (2022). Chain-of-Thought Prompting Elicits Reasoning in Large Language Models. NeurIPS 2022.</w:t>
      </w:r>
    </w:p>
    <w:p>
      <w:pPr>
        <w:spacing w:after="160"/>
      </w:pPr>
      <w:r>
        <w:rPr>
          <w:rFonts w:ascii="Arial" w:cs="Arial" w:eastAsia="Arial" w:hAnsi="Arial"/>
          <w:color w:val="1E293B"/>
          <w:sz w:val="22"/>
          <w:szCs w:val="22"/>
        </w:rPr>
        <w:t xml:space="preserve">Es, S. et al. (2023). RAGAS: Automated Evaluation of Retrieval Augmented Generation. arXiv:2309.15217</w:t>
      </w:r>
    </w:p>
    <w:p>
      <w:pPr>
        <w:spacing w:after="160"/>
      </w:pPr>
      <w:r>
        <w:rPr>
          <w:rFonts w:ascii="Arial" w:cs="Arial" w:eastAsia="Arial" w:hAnsi="Arial"/>
          <w:color w:val="1E293B"/>
          <w:sz w:val="22"/>
          <w:szCs w:val="22"/>
        </w:rPr>
        <w:t xml:space="preserve">Reimers, N. &amp; Gurevych, I. (2019). Sentence-BERT: Sentence Embeddings using Siamese BERT-Networks. EMNLP 2019.</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3C5FD" w:sz="4" w:space="4"/>
      </w:pBdr>
      <w:spacing w:after="120"/>
    </w:pPr>
    <w:r>
      <w:rPr>
        <w:rFonts w:ascii="Arial" w:cs="Arial" w:eastAsia="Arial" w:hAnsi="Arial"/>
        <w:color w:val="64748B"/>
        <w:sz w:val="18"/>
        <w:szCs w:val="18"/>
      </w:rPr>
      <w:t xml:space="preserve">RAG with Hallucination Detection  ·  Project Report  ·  Saket Maganti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3C5FD" w:sz="4" w:space="4"/>
      </w:pBdr>
      <w:spacing w:after="180" w:before="360"/>
      <w:outlineLvl w:val="0"/>
    </w:pPr>
    <w:rPr>
      <w:rFonts w:ascii="Arial" w:cs="Arial" w:eastAsia="Arial" w:hAnsi="Arial"/>
      <w:b/>
      <w:bCs/>
      <w:color w:val="1E40A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2026-03-23T09:27:43.160Z</dcterms:created>
  <dcterms:modified xsi:type="dcterms:W3CDTF">2026-03-23T09:27:43.161Z</dcterms:modified>
</cp:coreProperties>
</file>

<file path=docProps/custom.xml><?xml version="1.0" encoding="utf-8"?>
<Properties xmlns="http://schemas.openxmlformats.org/officeDocument/2006/custom-properties" xmlns:vt="http://schemas.openxmlformats.org/officeDocument/2006/docPropsVTypes"/>
</file>